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52" w:rsidRPr="00260675" w:rsidRDefault="00DD686B" w:rsidP="003663DB">
      <w:pPr>
        <w:spacing w:before="120" w:after="120" w:line="300" w:lineRule="exact"/>
        <w:rPr>
          <w:rFonts w:ascii="Arial" w:hAnsi="Arial" w:cs="Arial"/>
          <w:bCs/>
          <w:sz w:val="18"/>
          <w:szCs w:val="18"/>
          <w:rtl/>
        </w:rPr>
      </w:pPr>
      <w:bookmarkStart w:id="0" w:name="_GoBack"/>
      <w:bookmarkEnd w:id="0"/>
      <w:r w:rsidRPr="00260675">
        <w:rPr>
          <w:rFonts w:ascii="Arial" w:hAnsi="Arial" w:cs="Arial"/>
          <w:bCs/>
          <w:sz w:val="18"/>
          <w:szCs w:val="18"/>
          <w:rtl/>
        </w:rPr>
        <w:t xml:space="preserve">  </w:t>
      </w:r>
      <w:r w:rsidR="00260675" w:rsidRPr="00260675">
        <w:rPr>
          <w:rFonts w:ascii="Arial" w:hAnsi="Arial" w:cs="Arial"/>
          <w:bCs/>
          <w:noProof/>
          <w:sz w:val="18"/>
          <w:szCs w:val="18"/>
        </w:rPr>
        <w:drawing>
          <wp:inline distT="0" distB="0" distL="0" distR="0" wp14:anchorId="1C4441AA" wp14:editId="0197E1EA">
            <wp:extent cx="122936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360" cy="748030"/>
                    </a:xfrm>
                    <a:prstGeom prst="rect">
                      <a:avLst/>
                    </a:prstGeom>
                    <a:noFill/>
                    <a:ln>
                      <a:noFill/>
                    </a:ln>
                  </pic:spPr>
                </pic:pic>
              </a:graphicData>
            </a:graphic>
          </wp:inline>
        </w:drawing>
      </w:r>
      <w:r w:rsidRPr="00260675">
        <w:rPr>
          <w:rFonts w:ascii="Arial" w:hAnsi="Arial" w:cs="Arial"/>
          <w:bCs/>
          <w:sz w:val="18"/>
          <w:szCs w:val="18"/>
          <w:rtl/>
        </w:rPr>
        <w:t xml:space="preserve">                                          </w:t>
      </w:r>
    </w:p>
    <w:p w:rsidR="00DD686B" w:rsidRPr="00260675" w:rsidRDefault="00DD686B" w:rsidP="003663DB">
      <w:pPr>
        <w:spacing w:before="120" w:after="120" w:line="300" w:lineRule="exact"/>
        <w:ind w:left="5040"/>
        <w:rPr>
          <w:rFonts w:ascii="Arial" w:hAnsi="Arial" w:cs="Arial"/>
          <w:bCs/>
          <w:sz w:val="18"/>
          <w:szCs w:val="18"/>
          <w:rtl/>
        </w:rPr>
      </w:pPr>
      <w:r w:rsidRPr="00260675">
        <w:rPr>
          <w:rFonts w:ascii="Arial" w:hAnsi="Arial" w:cs="Arial"/>
          <w:bCs/>
          <w:sz w:val="18"/>
          <w:szCs w:val="18"/>
          <w:rtl/>
        </w:rPr>
        <w:t>תאריך עדכון:</w:t>
      </w:r>
      <w:r w:rsidR="00CB0752" w:rsidRPr="00260675">
        <w:rPr>
          <w:rFonts w:ascii="Arial" w:hAnsi="Arial" w:cs="Arial"/>
          <w:bCs/>
          <w:sz w:val="18"/>
          <w:szCs w:val="18"/>
          <w:rtl/>
        </w:rPr>
        <w:t xml:space="preserve"> </w:t>
      </w:r>
      <w:r w:rsidR="003663DB" w:rsidRPr="00260675">
        <w:rPr>
          <w:rFonts w:ascii="Arial" w:hAnsi="Arial" w:cs="Arial" w:hint="cs"/>
          <w:bCs/>
          <w:sz w:val="18"/>
          <w:szCs w:val="18"/>
          <w:rtl/>
        </w:rPr>
        <w:t>21.2.2016</w:t>
      </w:r>
    </w:p>
    <w:p w:rsidR="00CB0752" w:rsidRPr="00260675" w:rsidRDefault="00CB0752" w:rsidP="003663DB">
      <w:pPr>
        <w:spacing w:before="120" w:after="120" w:line="300" w:lineRule="exact"/>
        <w:jc w:val="center"/>
        <w:rPr>
          <w:rFonts w:ascii="Arial" w:hAnsi="Arial" w:cs="Arial"/>
          <w:bCs/>
          <w:sz w:val="18"/>
          <w:szCs w:val="18"/>
          <w:rtl/>
        </w:rPr>
      </w:pPr>
    </w:p>
    <w:p w:rsidR="00DD686B" w:rsidRPr="00260675" w:rsidRDefault="00DD686B" w:rsidP="003663DB">
      <w:pPr>
        <w:spacing w:before="120" w:after="120" w:line="300" w:lineRule="exact"/>
        <w:jc w:val="center"/>
        <w:rPr>
          <w:rFonts w:ascii="Arial" w:hAnsi="Arial" w:cs="Arial"/>
          <w:bCs/>
          <w:sz w:val="18"/>
          <w:szCs w:val="18"/>
          <w:rtl/>
        </w:rPr>
      </w:pPr>
      <w:r w:rsidRPr="00260675">
        <w:rPr>
          <w:rFonts w:ascii="Arial" w:hAnsi="Arial" w:cs="Arial"/>
          <w:bCs/>
          <w:sz w:val="18"/>
          <w:szCs w:val="18"/>
          <w:rtl/>
        </w:rPr>
        <w:t xml:space="preserve">שם ומספר הקורס:  </w:t>
      </w:r>
      <w:r w:rsidR="00EB028B" w:rsidRPr="00260675">
        <w:rPr>
          <w:rFonts w:ascii="Arial" w:hAnsi="Arial" w:cs="Arial" w:hint="cs"/>
          <w:bCs/>
          <w:sz w:val="18"/>
          <w:szCs w:val="18"/>
          <w:rtl/>
        </w:rPr>
        <w:t>היבטים משפטיים בניהול טכנולוגיות</w:t>
      </w:r>
    </w:p>
    <w:p w:rsidR="00CB0752" w:rsidRPr="00260675" w:rsidRDefault="00CB0752" w:rsidP="003663DB">
      <w:pPr>
        <w:spacing w:before="120" w:after="120" w:line="300" w:lineRule="exact"/>
        <w:jc w:val="center"/>
        <w:rPr>
          <w:rFonts w:ascii="Arial" w:hAnsi="Arial" w:cs="Arial"/>
          <w:sz w:val="18"/>
          <w:szCs w:val="18"/>
          <w:rtl/>
        </w:rPr>
      </w:pPr>
      <w:r w:rsidRPr="00260675">
        <w:rPr>
          <w:rFonts w:ascii="Arial" w:hAnsi="Arial" w:cs="Arial"/>
          <w:bCs/>
          <w:sz w:val="18"/>
          <w:szCs w:val="18"/>
          <w:rtl/>
        </w:rPr>
        <w:t>שם המרצה:</w:t>
      </w:r>
      <w:r w:rsidR="00EB028B" w:rsidRPr="00260675">
        <w:rPr>
          <w:rFonts w:ascii="Arial" w:hAnsi="Arial" w:cs="Arial" w:hint="cs"/>
          <w:sz w:val="18"/>
          <w:szCs w:val="18"/>
          <w:rtl/>
        </w:rPr>
        <w:t xml:space="preserve"> עו"ד דן אור-חוף</w:t>
      </w:r>
    </w:p>
    <w:p w:rsidR="00DD686B" w:rsidRPr="00260675" w:rsidRDefault="00DD686B" w:rsidP="00EB028B">
      <w:pPr>
        <w:spacing w:before="120" w:after="120" w:line="300" w:lineRule="exact"/>
        <w:jc w:val="center"/>
        <w:rPr>
          <w:rFonts w:ascii="Arial" w:hAnsi="Arial" w:cs="Arial"/>
          <w:sz w:val="18"/>
          <w:szCs w:val="18"/>
          <w:rtl/>
        </w:rPr>
      </w:pPr>
      <w:r w:rsidRPr="00260675">
        <w:rPr>
          <w:rFonts w:ascii="Arial" w:hAnsi="Arial" w:cs="Arial"/>
          <w:b/>
          <w:bCs/>
          <w:sz w:val="18"/>
          <w:szCs w:val="18"/>
          <w:rtl/>
        </w:rPr>
        <w:t>סוג הקורס:</w:t>
      </w:r>
      <w:r w:rsidRPr="00260675">
        <w:rPr>
          <w:rFonts w:ascii="Arial" w:hAnsi="Arial" w:cs="Arial"/>
          <w:sz w:val="18"/>
          <w:szCs w:val="18"/>
          <w:rtl/>
        </w:rPr>
        <w:t xml:space="preserve"> (שיעור)</w:t>
      </w:r>
    </w:p>
    <w:p w:rsidR="00DD686B" w:rsidRPr="00260675" w:rsidRDefault="00DD686B" w:rsidP="003663DB">
      <w:pPr>
        <w:spacing w:before="120" w:after="120" w:line="300" w:lineRule="exact"/>
        <w:rPr>
          <w:rFonts w:ascii="Arial" w:hAnsi="Arial" w:cs="Arial"/>
          <w:sz w:val="18"/>
          <w:szCs w:val="18"/>
          <w:rtl/>
        </w:rPr>
      </w:pPr>
      <w:r w:rsidRPr="00260675">
        <w:rPr>
          <w:rFonts w:ascii="Arial" w:hAnsi="Arial" w:cs="Arial"/>
          <w:b/>
          <w:bCs/>
          <w:sz w:val="18"/>
          <w:szCs w:val="18"/>
          <w:rtl/>
        </w:rPr>
        <w:t>שנת לימודים</w:t>
      </w:r>
      <w:r w:rsidRPr="00260675">
        <w:rPr>
          <w:rFonts w:ascii="Arial" w:hAnsi="Arial" w:cs="Arial"/>
          <w:sz w:val="18"/>
          <w:szCs w:val="18"/>
          <w:rtl/>
        </w:rPr>
        <w:t xml:space="preserve">: </w:t>
      </w:r>
      <w:r w:rsidR="00E37AC5" w:rsidRPr="00260675">
        <w:rPr>
          <w:rFonts w:ascii="Arial" w:hAnsi="Arial" w:cs="Arial"/>
          <w:sz w:val="18"/>
          <w:szCs w:val="18"/>
          <w:rtl/>
        </w:rPr>
        <w:t>תשע"ו</w:t>
      </w:r>
      <w:r w:rsidRPr="00260675">
        <w:rPr>
          <w:rFonts w:ascii="Arial" w:hAnsi="Arial" w:cs="Arial"/>
          <w:sz w:val="18"/>
          <w:szCs w:val="18"/>
          <w:rtl/>
        </w:rPr>
        <w:t xml:space="preserve">                </w:t>
      </w:r>
      <w:r w:rsidRPr="00260675">
        <w:rPr>
          <w:rFonts w:ascii="Arial" w:hAnsi="Arial" w:cs="Arial"/>
          <w:b/>
          <w:bCs/>
          <w:sz w:val="18"/>
          <w:szCs w:val="18"/>
          <w:rtl/>
        </w:rPr>
        <w:t>סמסטר</w:t>
      </w:r>
      <w:r w:rsidRPr="00260675">
        <w:rPr>
          <w:rFonts w:ascii="Arial" w:hAnsi="Arial" w:cs="Arial"/>
          <w:sz w:val="18"/>
          <w:szCs w:val="18"/>
          <w:rtl/>
        </w:rPr>
        <w:t>:</w:t>
      </w:r>
      <w:r w:rsidR="00E37AC5" w:rsidRPr="00260675">
        <w:rPr>
          <w:rFonts w:ascii="Arial" w:hAnsi="Arial" w:cs="Arial"/>
          <w:sz w:val="18"/>
          <w:szCs w:val="18"/>
          <w:rtl/>
        </w:rPr>
        <w:t xml:space="preserve"> קיץ</w:t>
      </w:r>
      <w:r w:rsidRPr="00260675">
        <w:rPr>
          <w:rFonts w:ascii="Arial" w:hAnsi="Arial" w:cs="Arial"/>
          <w:sz w:val="18"/>
          <w:szCs w:val="18"/>
          <w:rtl/>
        </w:rPr>
        <w:t xml:space="preserve">                             </w:t>
      </w:r>
      <w:r w:rsidRPr="00260675">
        <w:rPr>
          <w:rFonts w:ascii="Arial" w:hAnsi="Arial" w:cs="Arial"/>
          <w:b/>
          <w:bCs/>
          <w:sz w:val="18"/>
          <w:szCs w:val="18"/>
          <w:rtl/>
        </w:rPr>
        <w:t>היקף שעות</w:t>
      </w:r>
      <w:r w:rsidRPr="00260675">
        <w:rPr>
          <w:rFonts w:ascii="Arial" w:hAnsi="Arial" w:cs="Arial"/>
          <w:sz w:val="18"/>
          <w:szCs w:val="18"/>
          <w:rtl/>
        </w:rPr>
        <w:t xml:space="preserve">:  </w:t>
      </w:r>
      <w:r w:rsidR="00E37AC5" w:rsidRPr="00260675">
        <w:rPr>
          <w:rFonts w:ascii="Arial" w:hAnsi="Arial" w:cs="Arial"/>
          <w:sz w:val="18"/>
          <w:szCs w:val="18"/>
          <w:rtl/>
        </w:rPr>
        <w:t>2</w:t>
      </w:r>
    </w:p>
    <w:p w:rsidR="00DD686B" w:rsidRPr="00260675" w:rsidRDefault="00DD686B" w:rsidP="003663DB">
      <w:pPr>
        <w:spacing w:before="120" w:after="120" w:line="300" w:lineRule="exact"/>
        <w:rPr>
          <w:rFonts w:ascii="Arial" w:hAnsi="Arial" w:cs="Arial"/>
          <w:sz w:val="18"/>
          <w:szCs w:val="18"/>
        </w:rPr>
      </w:pPr>
      <w:r w:rsidRPr="00260675">
        <w:rPr>
          <w:rFonts w:ascii="Arial" w:hAnsi="Arial" w:cs="Arial"/>
          <w:b/>
          <w:bCs/>
          <w:sz w:val="18"/>
          <w:szCs w:val="18"/>
          <w:rtl/>
        </w:rPr>
        <w:t xml:space="preserve"> אתר הקורס באינטרנט:</w:t>
      </w:r>
      <w:r w:rsidRPr="00260675">
        <w:rPr>
          <w:rFonts w:ascii="Arial" w:hAnsi="Arial" w:cs="Arial"/>
          <w:sz w:val="18"/>
          <w:szCs w:val="18"/>
          <w:rtl/>
        </w:rPr>
        <w:t xml:space="preserve">           </w:t>
      </w:r>
    </w:p>
    <w:p w:rsidR="00DD686B" w:rsidRPr="00260675" w:rsidRDefault="00DD686B" w:rsidP="003663DB">
      <w:pPr>
        <w:spacing w:before="120" w:after="120" w:line="300" w:lineRule="exact"/>
        <w:ind w:left="26"/>
        <w:rPr>
          <w:rFonts w:ascii="Arial" w:hAnsi="Arial" w:cs="Arial"/>
          <w:sz w:val="18"/>
          <w:szCs w:val="18"/>
          <w:rtl/>
        </w:rPr>
      </w:pPr>
    </w:p>
    <w:p w:rsidR="00DD686B" w:rsidRPr="00260675" w:rsidRDefault="00DD686B" w:rsidP="003663DB">
      <w:pPr>
        <w:spacing w:before="120" w:after="120" w:line="300" w:lineRule="exact"/>
        <w:ind w:left="26"/>
        <w:rPr>
          <w:rFonts w:ascii="Arial" w:hAnsi="Arial" w:cs="Arial"/>
          <w:sz w:val="18"/>
          <w:szCs w:val="18"/>
          <w:rtl/>
        </w:rPr>
      </w:pPr>
    </w:p>
    <w:p w:rsidR="00DD686B" w:rsidRPr="00260675" w:rsidRDefault="00DD686B" w:rsidP="003663DB">
      <w:pPr>
        <w:numPr>
          <w:ilvl w:val="0"/>
          <w:numId w:val="1"/>
        </w:numPr>
        <w:spacing w:before="120" w:after="120" w:line="300" w:lineRule="exact"/>
        <w:rPr>
          <w:rFonts w:ascii="Arial" w:hAnsi="Arial" w:cs="Arial"/>
          <w:b/>
          <w:bCs/>
          <w:sz w:val="18"/>
          <w:szCs w:val="18"/>
          <w:rtl/>
        </w:rPr>
      </w:pPr>
      <w:r w:rsidRPr="00260675">
        <w:rPr>
          <w:rFonts w:ascii="Arial" w:hAnsi="Arial" w:cs="Arial"/>
          <w:b/>
          <w:bCs/>
          <w:color w:val="0000FF"/>
          <w:sz w:val="18"/>
          <w:szCs w:val="18"/>
          <w:rtl/>
        </w:rPr>
        <w:t>מטרות הקורס</w:t>
      </w:r>
      <w:r w:rsidRPr="00260675">
        <w:rPr>
          <w:rFonts w:ascii="Arial" w:hAnsi="Arial" w:cs="Arial"/>
          <w:b/>
          <w:bCs/>
          <w:sz w:val="18"/>
          <w:szCs w:val="18"/>
          <w:rtl/>
        </w:rPr>
        <w:t xml:space="preserve"> (מטרות על / מטרות ספציפיות):</w:t>
      </w:r>
    </w:p>
    <w:p w:rsidR="00E37AC5" w:rsidRPr="00260675" w:rsidRDefault="00E37AC5" w:rsidP="003663DB">
      <w:pPr>
        <w:pStyle w:val="1"/>
        <w:spacing w:before="120" w:after="120" w:line="300" w:lineRule="exact"/>
        <w:ind w:left="386"/>
        <w:jc w:val="both"/>
        <w:rPr>
          <w:rFonts w:ascii="Arial" w:hAnsi="Arial" w:cs="Arial"/>
          <w:noProof w:val="0"/>
          <w:sz w:val="18"/>
          <w:szCs w:val="18"/>
          <w:rtl/>
          <w:lang w:eastAsia="en-US"/>
        </w:rPr>
      </w:pPr>
      <w:r w:rsidRPr="00260675">
        <w:rPr>
          <w:rFonts w:ascii="Arial" w:hAnsi="Arial" w:cs="Arial"/>
          <w:noProof w:val="0"/>
          <w:sz w:val="18"/>
          <w:szCs w:val="18"/>
          <w:rtl/>
          <w:lang w:eastAsia="en-US"/>
        </w:rPr>
        <w:t xml:space="preserve">הקורס מיועד להכרת האתגרים המשפטיים המודרניים של ניהול טכנולוגיות. </w:t>
      </w:r>
    </w:p>
    <w:p w:rsidR="00E37AC5" w:rsidRPr="00260675" w:rsidRDefault="00E37AC5" w:rsidP="003663DB">
      <w:pPr>
        <w:spacing w:before="120" w:after="120" w:line="300" w:lineRule="exact"/>
        <w:ind w:left="26"/>
        <w:rPr>
          <w:rFonts w:ascii="Arial" w:hAnsi="Arial" w:cs="Arial"/>
          <w:b/>
          <w:bCs/>
          <w:sz w:val="18"/>
          <w:szCs w:val="18"/>
          <w:rtl/>
        </w:rPr>
      </w:pPr>
    </w:p>
    <w:p w:rsidR="00DD686B" w:rsidRPr="00260675" w:rsidRDefault="00DD686B" w:rsidP="003663DB">
      <w:pPr>
        <w:spacing w:before="120" w:after="120" w:line="300" w:lineRule="exact"/>
        <w:ind w:left="26"/>
        <w:rPr>
          <w:rFonts w:ascii="Arial" w:hAnsi="Arial" w:cs="Arial"/>
          <w:sz w:val="18"/>
          <w:szCs w:val="18"/>
        </w:rPr>
      </w:pPr>
      <w:r w:rsidRPr="00260675">
        <w:rPr>
          <w:rFonts w:ascii="Arial" w:hAnsi="Arial" w:cs="Arial"/>
          <w:b/>
          <w:bCs/>
          <w:sz w:val="18"/>
          <w:szCs w:val="18"/>
          <w:rtl/>
        </w:rPr>
        <w:t xml:space="preserve">ב. </w:t>
      </w:r>
      <w:r w:rsidRPr="00260675">
        <w:rPr>
          <w:rFonts w:ascii="Arial" w:hAnsi="Arial" w:cs="Arial"/>
          <w:b/>
          <w:bCs/>
          <w:color w:val="0000FF"/>
          <w:sz w:val="18"/>
          <w:szCs w:val="18"/>
          <w:rtl/>
        </w:rPr>
        <w:t>תוכן הקורס</w:t>
      </w:r>
      <w:r w:rsidRPr="00260675">
        <w:rPr>
          <w:rFonts w:ascii="Arial" w:hAnsi="Arial" w:cs="Arial"/>
          <w:b/>
          <w:bCs/>
          <w:sz w:val="18"/>
          <w:szCs w:val="18"/>
          <w:rtl/>
        </w:rPr>
        <w:t>:</w:t>
      </w:r>
      <w:r w:rsidRPr="00260675">
        <w:rPr>
          <w:rFonts w:ascii="Arial" w:hAnsi="Arial" w:cs="Arial"/>
          <w:sz w:val="18"/>
          <w:szCs w:val="18"/>
          <w:rtl/>
        </w:rPr>
        <w:t xml:space="preserve"> (רציונל, נושאים)</w:t>
      </w:r>
    </w:p>
    <w:p w:rsidR="00E37AC5" w:rsidRPr="00260675" w:rsidRDefault="00E37AC5" w:rsidP="003663DB">
      <w:pPr>
        <w:pStyle w:val="1"/>
        <w:spacing w:before="120" w:after="120" w:line="300" w:lineRule="exact"/>
        <w:ind w:left="386"/>
        <w:jc w:val="both"/>
        <w:rPr>
          <w:rFonts w:ascii="Arial" w:hAnsi="Arial" w:cs="Arial"/>
          <w:noProof w:val="0"/>
          <w:sz w:val="18"/>
          <w:szCs w:val="18"/>
          <w:rtl/>
          <w:lang w:eastAsia="en-US"/>
        </w:rPr>
      </w:pPr>
      <w:r w:rsidRPr="00260675">
        <w:rPr>
          <w:rFonts w:ascii="Arial" w:hAnsi="Arial" w:cs="Arial"/>
          <w:noProof w:val="0"/>
          <w:sz w:val="18"/>
          <w:szCs w:val="18"/>
          <w:rtl/>
          <w:lang w:eastAsia="en-US"/>
        </w:rPr>
        <w:t>הקורס נועד לאפשר היכרות עם עולם התוכן המשפטי שכל מנהל בחברה טכנולוגית צריך להכיר ובכלל זה, חוזים אלקטרוניים ועסקאות מקוונות, זכויות יוצרים, מאגרי מידע, סודות מסחר, שיווק ודיוור, מיתוג ומוניטין, הגנת הפרטיות ועוד – כל זאת לצד מאפיינים מודרניים של ניהול נכסים ארגוניים ופיתוח טכנולוגי, כדוגמת שירותי ענן, קוד פתוח וה'אינטרנט של הדברים'.</w:t>
      </w:r>
    </w:p>
    <w:p w:rsidR="00E37AC5" w:rsidRPr="00260675" w:rsidRDefault="00E37AC5" w:rsidP="003663DB">
      <w:pPr>
        <w:pStyle w:val="1"/>
        <w:spacing w:before="120" w:after="120" w:line="300" w:lineRule="exact"/>
        <w:ind w:left="386"/>
        <w:jc w:val="both"/>
        <w:rPr>
          <w:rFonts w:ascii="Arial" w:hAnsi="Arial" w:cs="Arial"/>
          <w:noProof w:val="0"/>
          <w:sz w:val="18"/>
          <w:szCs w:val="18"/>
          <w:rtl/>
          <w:lang w:eastAsia="en-US"/>
        </w:rPr>
      </w:pPr>
    </w:p>
    <w:p w:rsidR="00DD686B" w:rsidRPr="00260675" w:rsidRDefault="00DD686B" w:rsidP="003663DB">
      <w:pPr>
        <w:spacing w:before="120" w:after="120" w:line="300" w:lineRule="exact"/>
        <w:ind w:left="26"/>
        <w:rPr>
          <w:rFonts w:ascii="Arial" w:hAnsi="Arial" w:cs="Arial"/>
          <w:sz w:val="18"/>
          <w:szCs w:val="18"/>
          <w:rtl/>
        </w:rPr>
      </w:pPr>
      <w:r w:rsidRPr="00260675">
        <w:rPr>
          <w:rFonts w:ascii="Arial" w:hAnsi="Arial" w:cs="Arial"/>
          <w:b/>
          <w:bCs/>
          <w:sz w:val="18"/>
          <w:szCs w:val="18"/>
          <w:rtl/>
        </w:rPr>
        <w:t xml:space="preserve">    מהלך השיעורים:</w:t>
      </w:r>
      <w:r w:rsidRPr="00260675">
        <w:rPr>
          <w:rFonts w:ascii="Arial" w:hAnsi="Arial" w:cs="Arial"/>
          <w:sz w:val="18"/>
          <w:szCs w:val="18"/>
          <w:rtl/>
        </w:rPr>
        <w:t xml:space="preserve"> (שיטות ההוראה, שימוש בטכנולוגיה, מרצים אורחים)</w:t>
      </w:r>
    </w:p>
    <w:p w:rsidR="00DD686B" w:rsidRPr="00260675" w:rsidRDefault="00E37AC5" w:rsidP="003663DB">
      <w:pPr>
        <w:pStyle w:val="1"/>
        <w:spacing w:before="120" w:after="120" w:line="300" w:lineRule="exact"/>
        <w:ind w:left="386"/>
        <w:jc w:val="both"/>
        <w:rPr>
          <w:rFonts w:ascii="Arial" w:hAnsi="Arial" w:cs="Arial"/>
          <w:noProof w:val="0"/>
          <w:sz w:val="18"/>
          <w:szCs w:val="18"/>
          <w:rtl/>
          <w:lang w:eastAsia="en-US"/>
        </w:rPr>
      </w:pPr>
      <w:r w:rsidRPr="00260675">
        <w:rPr>
          <w:rFonts w:ascii="Arial" w:hAnsi="Arial" w:cs="Arial"/>
          <w:noProof w:val="0"/>
          <w:sz w:val="18"/>
          <w:szCs w:val="18"/>
          <w:rtl/>
          <w:lang w:eastAsia="en-US"/>
        </w:rPr>
        <w:t>הקורס ישלב הרצאות פרונטאליות עם דיונים, ניתוח אירועים, סימולאציות ושתי הרצאות אורח.</w:t>
      </w:r>
    </w:p>
    <w:p w:rsidR="00E37AC5" w:rsidRPr="00260675" w:rsidRDefault="00E37AC5" w:rsidP="003663DB">
      <w:pPr>
        <w:spacing w:before="120" w:after="120" w:line="300" w:lineRule="exact"/>
        <w:rPr>
          <w:rFonts w:ascii="Arial" w:hAnsi="Arial" w:cs="Arial"/>
          <w:sz w:val="18"/>
          <w:szCs w:val="18"/>
        </w:rPr>
      </w:pPr>
    </w:p>
    <w:p w:rsidR="00DD686B" w:rsidRPr="00260675" w:rsidRDefault="00DD686B" w:rsidP="003663DB">
      <w:pPr>
        <w:spacing w:before="120" w:after="120" w:line="300" w:lineRule="exact"/>
        <w:ind w:left="26"/>
        <w:rPr>
          <w:rFonts w:ascii="Arial" w:hAnsi="Arial" w:cs="Arial"/>
          <w:sz w:val="18"/>
          <w:szCs w:val="18"/>
          <w:rtl/>
        </w:rPr>
      </w:pPr>
      <w:r w:rsidRPr="00260675">
        <w:rPr>
          <w:rFonts w:ascii="Arial" w:hAnsi="Arial" w:cs="Arial"/>
          <w:b/>
          <w:bCs/>
          <w:sz w:val="18"/>
          <w:szCs w:val="18"/>
          <w:rtl/>
        </w:rPr>
        <w:t xml:space="preserve">    תכנית הוראה מפורטת לכל השיעורים: </w:t>
      </w:r>
      <w:r w:rsidRPr="00260675">
        <w:rPr>
          <w:rFonts w:ascii="Arial" w:hAnsi="Arial" w:cs="Arial"/>
          <w:sz w:val="18"/>
          <w:szCs w:val="18"/>
          <w:rtl/>
        </w:rPr>
        <w:t>(רשימה או טבלה כדוגמת המצ"ב)</w:t>
      </w:r>
    </w:p>
    <w:p w:rsidR="00DD686B" w:rsidRPr="00260675" w:rsidRDefault="00DD686B" w:rsidP="003663DB">
      <w:pPr>
        <w:spacing w:before="120" w:after="120" w:line="300" w:lineRule="exact"/>
        <w:ind w:left="26"/>
        <w:rPr>
          <w:rFonts w:ascii="Arial" w:hAnsi="Arial" w:cs="Arial"/>
          <w:sz w:val="18"/>
          <w:szCs w:val="18"/>
          <w:rtl/>
        </w:rPr>
      </w:pPr>
    </w:p>
    <w:tbl>
      <w:tblPr>
        <w:tblStyle w:val="a3"/>
        <w:bidiVisual/>
        <w:tblW w:w="0" w:type="auto"/>
        <w:jc w:val="center"/>
        <w:tblInd w:w="0" w:type="dxa"/>
        <w:tblLook w:val="01E0" w:firstRow="1" w:lastRow="1" w:firstColumn="1" w:lastColumn="1" w:noHBand="0" w:noVBand="0"/>
      </w:tblPr>
      <w:tblGrid>
        <w:gridCol w:w="786"/>
        <w:gridCol w:w="1027"/>
        <w:gridCol w:w="5760"/>
        <w:gridCol w:w="723"/>
      </w:tblGrid>
      <w:tr w:rsidR="00DD686B" w:rsidRPr="00260675" w:rsidTr="00484B93">
        <w:trPr>
          <w:jc w:val="center"/>
        </w:trPr>
        <w:tc>
          <w:tcPr>
            <w:tcW w:w="786" w:type="dxa"/>
          </w:tcPr>
          <w:p w:rsidR="00DD686B" w:rsidRPr="00260675" w:rsidRDefault="00DD686B" w:rsidP="003663DB">
            <w:pPr>
              <w:spacing w:before="120" w:after="120" w:line="300" w:lineRule="exact"/>
              <w:rPr>
                <w:rFonts w:ascii="Arial" w:hAnsi="Arial" w:cs="Arial"/>
                <w:sz w:val="18"/>
                <w:szCs w:val="18"/>
              </w:rPr>
            </w:pPr>
            <w:r w:rsidRPr="00260675">
              <w:rPr>
                <w:rFonts w:ascii="Arial" w:hAnsi="Arial" w:cs="Arial"/>
                <w:sz w:val="18"/>
                <w:szCs w:val="18"/>
                <w:rtl/>
              </w:rPr>
              <w:t>מס' השיעור</w:t>
            </w:r>
          </w:p>
        </w:tc>
        <w:tc>
          <w:tcPr>
            <w:tcW w:w="1027" w:type="dxa"/>
          </w:tcPr>
          <w:p w:rsidR="00DD686B" w:rsidRPr="00260675" w:rsidRDefault="00DD686B" w:rsidP="003663DB">
            <w:pPr>
              <w:spacing w:before="120" w:after="120" w:line="300" w:lineRule="exact"/>
              <w:rPr>
                <w:rFonts w:ascii="Arial" w:hAnsi="Arial" w:cs="Arial"/>
                <w:sz w:val="18"/>
                <w:szCs w:val="18"/>
              </w:rPr>
            </w:pPr>
            <w:r w:rsidRPr="00260675">
              <w:rPr>
                <w:rFonts w:ascii="Arial" w:hAnsi="Arial" w:cs="Arial"/>
                <w:sz w:val="18"/>
                <w:szCs w:val="18"/>
                <w:rtl/>
              </w:rPr>
              <w:t>נושא השיעור</w:t>
            </w:r>
          </w:p>
        </w:tc>
        <w:tc>
          <w:tcPr>
            <w:tcW w:w="5760" w:type="dxa"/>
          </w:tcPr>
          <w:p w:rsidR="00DD686B" w:rsidRPr="00260675" w:rsidRDefault="00DD686B" w:rsidP="003663DB">
            <w:pPr>
              <w:spacing w:before="120" w:after="120" w:line="300" w:lineRule="exact"/>
              <w:rPr>
                <w:rFonts w:ascii="Arial" w:hAnsi="Arial" w:cs="Arial"/>
                <w:sz w:val="18"/>
                <w:szCs w:val="18"/>
                <w:rtl/>
              </w:rPr>
            </w:pPr>
            <w:r w:rsidRPr="00260675">
              <w:rPr>
                <w:rFonts w:ascii="Arial" w:hAnsi="Arial" w:cs="Arial"/>
                <w:sz w:val="18"/>
                <w:szCs w:val="18"/>
                <w:rtl/>
              </w:rPr>
              <w:t>קריאה נדרשת</w:t>
            </w:r>
          </w:p>
        </w:tc>
        <w:tc>
          <w:tcPr>
            <w:tcW w:w="723" w:type="dxa"/>
          </w:tcPr>
          <w:p w:rsidR="00DD686B" w:rsidRPr="00260675" w:rsidRDefault="00DD686B" w:rsidP="003663DB">
            <w:pPr>
              <w:spacing w:before="120" w:after="120" w:line="300" w:lineRule="exact"/>
              <w:rPr>
                <w:rFonts w:ascii="Arial" w:hAnsi="Arial" w:cs="Arial"/>
                <w:sz w:val="18"/>
                <w:szCs w:val="18"/>
              </w:rPr>
            </w:pPr>
            <w:r w:rsidRPr="00260675">
              <w:rPr>
                <w:rFonts w:ascii="Arial" w:hAnsi="Arial" w:cs="Arial"/>
                <w:sz w:val="18"/>
                <w:szCs w:val="18"/>
                <w:rtl/>
              </w:rPr>
              <w:t xml:space="preserve"> הערות</w:t>
            </w: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מבוא לעולם המשפטי של ניהול טכנולוגיות</w:t>
            </w:r>
          </w:p>
        </w:tc>
        <w:tc>
          <w:tcPr>
            <w:tcW w:w="5760" w:type="dxa"/>
          </w:tcPr>
          <w:p w:rsidR="00332899" w:rsidRPr="00260675" w:rsidRDefault="004C1D12" w:rsidP="003663DB">
            <w:pPr>
              <w:numPr>
                <w:ilvl w:val="0"/>
                <w:numId w:val="12"/>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Gartner: Top </w:t>
            </w:r>
            <w:r w:rsidR="00332899" w:rsidRPr="00260675">
              <w:rPr>
                <w:rFonts w:ascii="Arial" w:hAnsi="Arial" w:cs="Arial"/>
                <w:sz w:val="18"/>
                <w:szCs w:val="18"/>
              </w:rPr>
              <w:t xml:space="preserve">Strategic Technology Trends for 2016 </w:t>
            </w:r>
            <w:hyperlink r:id="rId9" w:history="1">
              <w:r w:rsidR="00332899" w:rsidRPr="00260675">
                <w:rPr>
                  <w:rStyle w:val="Hyperlink"/>
                  <w:rFonts w:ascii="Arial" w:hAnsi="Arial" w:cs="Arial"/>
                  <w:sz w:val="18"/>
                  <w:szCs w:val="18"/>
                </w:rPr>
                <w:t>http://www.forbes.com/pictures/hedk45ifd/10-internet-of-things-a/</w:t>
              </w:r>
            </w:hyperlink>
            <w:r w:rsidR="00332899" w:rsidRPr="00260675">
              <w:rPr>
                <w:rFonts w:ascii="Arial" w:hAnsi="Arial" w:cs="Arial"/>
                <w:sz w:val="18"/>
                <w:szCs w:val="18"/>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חוזים </w:t>
            </w:r>
            <w:r w:rsidR="00304756" w:rsidRPr="00260675">
              <w:rPr>
                <w:rFonts w:ascii="Arial" w:hAnsi="Arial" w:cs="Arial"/>
                <w:sz w:val="18"/>
                <w:szCs w:val="18"/>
                <w:rtl/>
              </w:rPr>
              <w:t>טכנולוגיה – רכש, רישוי ושירותים</w:t>
            </w:r>
          </w:p>
        </w:tc>
        <w:tc>
          <w:tcPr>
            <w:tcW w:w="5760" w:type="dxa"/>
          </w:tcPr>
          <w:p w:rsidR="004C0C3F" w:rsidRPr="00260675" w:rsidRDefault="004C0C3F" w:rsidP="003663DB">
            <w:pPr>
              <w:numPr>
                <w:ilvl w:val="0"/>
                <w:numId w:val="6"/>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WIPO – Exchanging Value – Negotiating Licensing Agreements </w:t>
            </w:r>
            <w:hyperlink r:id="rId10" w:history="1">
              <w:r w:rsidRPr="00260675">
                <w:rPr>
                  <w:rStyle w:val="Hyperlink"/>
                  <w:rFonts w:ascii="Arial" w:hAnsi="Arial" w:cs="Arial"/>
                  <w:sz w:val="18"/>
                  <w:szCs w:val="18"/>
                </w:rPr>
                <w:t>http://bit.ly/1QS7hsQ</w:t>
              </w:r>
            </w:hyperlink>
            <w:r w:rsidRPr="00260675">
              <w:rPr>
                <w:rFonts w:ascii="Arial" w:hAnsi="Arial" w:cs="Arial"/>
                <w:sz w:val="18"/>
                <w:szCs w:val="18"/>
              </w:rPr>
              <w:t xml:space="preserve"> </w:t>
            </w:r>
          </w:p>
          <w:p w:rsidR="005817E8" w:rsidRPr="00260675" w:rsidRDefault="005817E8" w:rsidP="003663DB">
            <w:pPr>
              <w:numPr>
                <w:ilvl w:val="0"/>
                <w:numId w:val="6"/>
              </w:numPr>
              <w:bidi w:val="0"/>
              <w:spacing w:before="120" w:after="120" w:line="300" w:lineRule="exact"/>
              <w:ind w:left="360"/>
              <w:rPr>
                <w:rFonts w:ascii="Arial" w:hAnsi="Arial" w:cs="Arial"/>
                <w:sz w:val="18"/>
                <w:szCs w:val="18"/>
              </w:rPr>
            </w:pPr>
            <w:r w:rsidRPr="00260675">
              <w:rPr>
                <w:rFonts w:ascii="Arial" w:hAnsi="Arial" w:cs="Arial"/>
                <w:sz w:val="18"/>
                <w:szCs w:val="18"/>
              </w:rPr>
              <w:lastRenderedPageBreak/>
              <w:t>WIPO – Overview of Contractual Agreements for the Transfer of Technology.</w:t>
            </w:r>
            <w:r w:rsidRPr="00260675">
              <w:rPr>
                <w:rFonts w:ascii="Arial" w:hAnsi="Arial" w:cs="Arial"/>
                <w:color w:val="A3AAAE"/>
                <w:sz w:val="18"/>
                <w:szCs w:val="18"/>
              </w:rPr>
              <w:t xml:space="preserve"> </w:t>
            </w:r>
            <w:hyperlink r:id="rId11" w:history="1">
              <w:r w:rsidRPr="00260675">
                <w:rPr>
                  <w:rStyle w:val="Hyperlink"/>
                  <w:rFonts w:ascii="Arial" w:hAnsi="Arial" w:cs="Arial"/>
                  <w:sz w:val="18"/>
                  <w:szCs w:val="18"/>
                </w:rPr>
                <w:t>http://bit.ly/1Tt7Qyj</w:t>
              </w:r>
            </w:hyperlink>
            <w:r w:rsidRPr="00260675">
              <w:rPr>
                <w:rFonts w:ascii="Arial" w:hAnsi="Arial" w:cs="Arial"/>
                <w:color w:val="A3AAAE"/>
                <w:sz w:val="18"/>
                <w:szCs w:val="18"/>
              </w:rPr>
              <w:t xml:space="preserve"> </w:t>
            </w:r>
          </w:p>
          <w:p w:rsidR="0066004A" w:rsidRPr="00260675" w:rsidRDefault="0066004A" w:rsidP="00CB4667">
            <w:pPr>
              <w:bidi w:val="0"/>
              <w:spacing w:before="120" w:after="120" w:line="300" w:lineRule="exact"/>
              <w:ind w:left="360"/>
              <w:rPr>
                <w:rFonts w:ascii="Arial" w:hAnsi="Arial" w:cs="Arial"/>
                <w:sz w:val="18"/>
                <w:szCs w:val="18"/>
              </w:rPr>
            </w:pP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זכויות יוצרים – כללי בסיס והאינטרנט</w:t>
            </w:r>
          </w:p>
        </w:tc>
        <w:tc>
          <w:tcPr>
            <w:tcW w:w="5760" w:type="dxa"/>
          </w:tcPr>
          <w:p w:rsidR="001F4E45" w:rsidRPr="00260675" w:rsidRDefault="001F4E45" w:rsidP="003663DB">
            <w:pPr>
              <w:numPr>
                <w:ilvl w:val="0"/>
                <w:numId w:val="6"/>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זכות יוצרים, </w:t>
            </w:r>
            <w:r w:rsidR="004C1D12" w:rsidRPr="00260675">
              <w:rPr>
                <w:rFonts w:ascii="Arial" w:hAnsi="Arial" w:cs="Arial"/>
                <w:sz w:val="18"/>
                <w:szCs w:val="18"/>
                <w:rtl/>
              </w:rPr>
              <w:t xml:space="preserve">התשס"ח – 2007, </w:t>
            </w:r>
            <w:r w:rsidRPr="00260675">
              <w:rPr>
                <w:rFonts w:ascii="Arial" w:hAnsi="Arial" w:cs="Arial"/>
                <w:sz w:val="18"/>
                <w:szCs w:val="18"/>
                <w:rtl/>
              </w:rPr>
              <w:t>סעיפים 4, 5, 11-17, 19, 33-35, 37, 38, 45-46.</w:t>
            </w:r>
          </w:p>
          <w:p w:rsidR="001F4E45" w:rsidRPr="00260675" w:rsidRDefault="00563F27" w:rsidP="003663DB">
            <w:pPr>
              <w:numPr>
                <w:ilvl w:val="0"/>
                <w:numId w:val="6"/>
              </w:numPr>
              <w:spacing w:before="120" w:after="120" w:line="300" w:lineRule="exact"/>
              <w:ind w:left="360"/>
              <w:rPr>
                <w:rFonts w:ascii="Arial" w:hAnsi="Arial" w:cs="Arial"/>
                <w:sz w:val="18"/>
                <w:szCs w:val="18"/>
              </w:rPr>
            </w:pPr>
            <w:r w:rsidRPr="00260675">
              <w:rPr>
                <w:rFonts w:ascii="Arial" w:hAnsi="Arial" w:cs="Arial"/>
                <w:sz w:val="18"/>
                <w:szCs w:val="18"/>
                <w:rtl/>
              </w:rPr>
              <w:t xml:space="preserve">דה מרקר ישלם למעריב 3.3 מיליון ש"ח. אתר העין השביעית, 12.6.2013. </w:t>
            </w:r>
            <w:hyperlink r:id="rId12" w:history="1">
              <w:r w:rsidRPr="00260675">
                <w:rPr>
                  <w:rStyle w:val="Hyperlink"/>
                  <w:rFonts w:ascii="Arial" w:hAnsi="Arial" w:cs="Arial"/>
                  <w:sz w:val="18"/>
                  <w:szCs w:val="18"/>
                </w:rPr>
                <w:t>http://www.the7eye.org.il/67633</w:t>
              </w:r>
            </w:hyperlink>
            <w:r w:rsidRPr="00260675">
              <w:rPr>
                <w:rFonts w:ascii="Arial" w:hAnsi="Arial" w:cs="Arial"/>
                <w:sz w:val="18"/>
                <w:szCs w:val="18"/>
                <w:rtl/>
              </w:rPr>
              <w:t xml:space="preserve"> </w:t>
            </w:r>
          </w:p>
          <w:p w:rsidR="000C24D7" w:rsidRPr="00260675" w:rsidRDefault="000C24D7" w:rsidP="00CB4667">
            <w:pPr>
              <w:numPr>
                <w:ilvl w:val="0"/>
                <w:numId w:val="6"/>
              </w:numPr>
              <w:spacing w:before="120" w:after="120" w:line="300" w:lineRule="exact"/>
              <w:ind w:left="360"/>
              <w:rPr>
                <w:rFonts w:ascii="Arial" w:hAnsi="Arial" w:cs="Arial"/>
                <w:sz w:val="18"/>
                <w:szCs w:val="18"/>
              </w:rPr>
            </w:pPr>
            <w:r w:rsidRPr="00260675">
              <w:rPr>
                <w:rFonts w:ascii="Arial" w:hAnsi="Arial" w:cs="Arial"/>
                <w:sz w:val="18"/>
                <w:szCs w:val="18"/>
                <w:rtl/>
              </w:rPr>
              <w:t>בחר גופן: ביהמ"ש פסק פיצויים של 800 אלף שקל בגין הפרת יוצרים של הגופן "הדסה</w:t>
            </w:r>
            <w:r w:rsidRPr="00260675">
              <w:rPr>
                <w:rFonts w:ascii="Arial" w:hAnsi="Arial" w:cs="Arial"/>
                <w:sz w:val="18"/>
                <w:szCs w:val="18"/>
              </w:rPr>
              <w:t>"</w:t>
            </w:r>
            <w:r w:rsidRPr="00260675">
              <w:rPr>
                <w:rFonts w:ascii="Arial" w:hAnsi="Arial" w:cs="Arial"/>
                <w:sz w:val="18"/>
                <w:szCs w:val="18"/>
                <w:rtl/>
              </w:rPr>
              <w:t xml:space="preserve">. אתר דה מרקר: </w:t>
            </w:r>
            <w:hyperlink r:id="rId13" w:history="1">
              <w:r w:rsidRPr="00260675">
                <w:rPr>
                  <w:rStyle w:val="Hyperlink"/>
                  <w:rFonts w:ascii="Arial" w:hAnsi="Arial" w:cs="Arial"/>
                  <w:sz w:val="18"/>
                  <w:szCs w:val="18"/>
                </w:rPr>
                <w:t>http://www.themarker.com/law/1.2692582</w:t>
              </w:r>
            </w:hyperlink>
            <w:r w:rsidRPr="00260675">
              <w:rPr>
                <w:rFonts w:ascii="Arial" w:hAnsi="Arial" w:cs="Arial"/>
                <w:sz w:val="18"/>
                <w:szCs w:val="18"/>
                <w:rtl/>
              </w:rPr>
              <w:t xml:space="preserve"> </w:t>
            </w:r>
          </w:p>
          <w:p w:rsidR="000C24D7" w:rsidRPr="00260675" w:rsidRDefault="000C24D7" w:rsidP="003663DB">
            <w:pPr>
              <w:numPr>
                <w:ilvl w:val="0"/>
                <w:numId w:val="6"/>
              </w:numPr>
              <w:bidi w:val="0"/>
              <w:spacing w:before="120" w:after="120" w:line="300" w:lineRule="exact"/>
              <w:ind w:left="360"/>
              <w:rPr>
                <w:rFonts w:ascii="Arial" w:hAnsi="Arial" w:cs="Arial"/>
                <w:sz w:val="18"/>
                <w:szCs w:val="18"/>
                <w:rtl/>
              </w:rPr>
            </w:pPr>
            <w:r w:rsidRPr="00260675">
              <w:rPr>
                <w:rStyle w:val="lede-headlinehighlighted"/>
                <w:rFonts w:ascii="Arial" w:hAnsi="Arial" w:cs="Arial"/>
                <w:color w:val="000000"/>
                <w:sz w:val="18"/>
                <w:szCs w:val="18"/>
                <w:shd w:val="clear" w:color="auto" w:fill="FFFFFF"/>
              </w:rPr>
              <w:t xml:space="preserve">Oracle Wins $1.3 Billion From SAP in Downloading Case. Bloomberg.com </w:t>
            </w:r>
            <w:hyperlink r:id="rId14" w:history="1">
              <w:r w:rsidRPr="00260675">
                <w:rPr>
                  <w:rStyle w:val="Hyperlink"/>
                  <w:rFonts w:ascii="Arial" w:hAnsi="Arial" w:cs="Arial"/>
                  <w:sz w:val="18"/>
                  <w:szCs w:val="18"/>
                  <w:shd w:val="clear" w:color="auto" w:fill="FFFFFF"/>
                </w:rPr>
                <w:t>http://www.bloomberg.com/news/articles/2010-11-23/sap-must-pay-oracle-1-3-billion-over-unit-s-downloads</w:t>
              </w:r>
            </w:hyperlink>
            <w:r w:rsidRPr="00260675">
              <w:rPr>
                <w:rStyle w:val="lede-headlinehighlighted"/>
                <w:rFonts w:ascii="Arial" w:hAnsi="Arial" w:cs="Arial"/>
                <w:color w:val="000000"/>
                <w:sz w:val="18"/>
                <w:szCs w:val="18"/>
                <w:shd w:val="clear" w:color="auto" w:fill="FFFFFF"/>
              </w:rPr>
              <w:t xml:space="preserve"> </w:t>
            </w:r>
          </w:p>
          <w:p w:rsidR="00E37AC5" w:rsidRPr="00260675" w:rsidRDefault="001F4E45" w:rsidP="003663DB">
            <w:pPr>
              <w:spacing w:before="120" w:after="120" w:line="300" w:lineRule="exact"/>
              <w:rPr>
                <w:rFonts w:ascii="Arial" w:hAnsi="Arial" w:cs="Arial"/>
                <w:sz w:val="18"/>
                <w:szCs w:val="18"/>
                <w:rtl/>
              </w:rPr>
            </w:pPr>
            <w:r w:rsidRPr="00260675">
              <w:rPr>
                <w:rFonts w:ascii="Arial" w:hAnsi="Arial" w:cs="Arial"/>
                <w:sz w:val="18"/>
                <w:szCs w:val="18"/>
                <w:rtl/>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מרישוי קנייני למודלים מודרניים של פיתוח שיתופי – על הסדרת השימוש בתוכן ובתוכנה</w:t>
            </w:r>
          </w:p>
        </w:tc>
        <w:tc>
          <w:tcPr>
            <w:tcW w:w="5760" w:type="dxa"/>
          </w:tcPr>
          <w:p w:rsidR="00CB4667" w:rsidRPr="00260675" w:rsidRDefault="007B24F6" w:rsidP="007B24F6">
            <w:pPr>
              <w:numPr>
                <w:ilvl w:val="0"/>
                <w:numId w:val="9"/>
              </w:numPr>
              <w:bidi w:val="0"/>
              <w:spacing w:before="120" w:after="120" w:line="300" w:lineRule="exact"/>
              <w:ind w:left="360"/>
              <w:rPr>
                <w:rFonts w:ascii="Arial" w:hAnsi="Arial" w:cs="Arial"/>
                <w:sz w:val="18"/>
                <w:szCs w:val="18"/>
              </w:rPr>
            </w:pPr>
            <w:r>
              <w:rPr>
                <w:rFonts w:ascii="Arial" w:hAnsi="Arial" w:cs="Arial"/>
                <w:sz w:val="18"/>
                <w:szCs w:val="18"/>
              </w:rPr>
              <w:t xml:space="preserve">A proprietary sample license - </w:t>
            </w:r>
            <w:r w:rsidR="00CB4667" w:rsidRPr="00260675">
              <w:rPr>
                <w:rFonts w:ascii="Arial" w:hAnsi="Arial" w:cs="Arial"/>
                <w:sz w:val="18"/>
                <w:szCs w:val="18"/>
              </w:rPr>
              <w:t xml:space="preserve">McAfee End User License Agreement - </w:t>
            </w:r>
            <w:hyperlink r:id="rId15" w:history="1">
              <w:r w:rsidR="00CB4667" w:rsidRPr="00260675">
                <w:rPr>
                  <w:rStyle w:val="Hyperlink"/>
                  <w:rFonts w:ascii="Arial" w:hAnsi="Arial" w:cs="Arial"/>
                  <w:sz w:val="18"/>
                  <w:szCs w:val="18"/>
                </w:rPr>
                <w:t>http://www.mcafee.com/us/resources/legal/end-user-license-agreements-en-us.pdf</w:t>
              </w:r>
            </w:hyperlink>
            <w:r w:rsidR="00CB4667" w:rsidRPr="00260675">
              <w:rPr>
                <w:rFonts w:ascii="Arial" w:hAnsi="Arial" w:cs="Arial"/>
                <w:sz w:val="18"/>
                <w:szCs w:val="18"/>
              </w:rPr>
              <w:t xml:space="preserve"> </w:t>
            </w:r>
          </w:p>
          <w:p w:rsidR="002C3415" w:rsidRPr="00260675" w:rsidRDefault="000C24D7"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Creative Commons Licenses - </w:t>
            </w:r>
            <w:hyperlink r:id="rId16" w:history="1">
              <w:r w:rsidRPr="00260675">
                <w:rPr>
                  <w:rStyle w:val="Hyperlink"/>
                  <w:rFonts w:ascii="Arial" w:hAnsi="Arial" w:cs="Arial"/>
                  <w:sz w:val="18"/>
                  <w:szCs w:val="18"/>
                </w:rPr>
                <w:t>https://creativecommons.org/licenses/</w:t>
              </w:r>
            </w:hyperlink>
            <w:r w:rsidRPr="00260675">
              <w:rPr>
                <w:rFonts w:ascii="Arial" w:hAnsi="Arial" w:cs="Arial"/>
                <w:sz w:val="18"/>
                <w:szCs w:val="18"/>
              </w:rPr>
              <w:t xml:space="preserve"> </w:t>
            </w:r>
          </w:p>
          <w:p w:rsidR="000C24D7" w:rsidRPr="00260675" w:rsidRDefault="000C24D7"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The Free Software Foundation - </w:t>
            </w:r>
            <w:hyperlink r:id="rId17" w:history="1">
              <w:r w:rsidRPr="00260675">
                <w:rPr>
                  <w:rStyle w:val="Hyperlink"/>
                  <w:rFonts w:ascii="Arial" w:hAnsi="Arial" w:cs="Arial"/>
                  <w:sz w:val="18"/>
                  <w:szCs w:val="18"/>
                </w:rPr>
                <w:t>http://www.fsf.org/about</w:t>
              </w:r>
            </w:hyperlink>
            <w:r w:rsidRPr="00260675">
              <w:rPr>
                <w:rFonts w:ascii="Arial" w:hAnsi="Arial" w:cs="Arial"/>
                <w:sz w:val="18"/>
                <w:szCs w:val="18"/>
              </w:rPr>
              <w:t xml:space="preserve"> </w:t>
            </w:r>
          </w:p>
          <w:p w:rsidR="000C24D7" w:rsidRPr="00260675" w:rsidRDefault="000C24D7"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Open Source Initiative – Open Source Licenses - </w:t>
            </w:r>
            <w:hyperlink r:id="rId18" w:history="1">
              <w:r w:rsidRPr="00260675">
                <w:rPr>
                  <w:rStyle w:val="Hyperlink"/>
                  <w:rFonts w:ascii="Arial" w:hAnsi="Arial" w:cs="Arial"/>
                  <w:sz w:val="18"/>
                  <w:szCs w:val="18"/>
                </w:rPr>
                <w:t>https://opensource.org/licenses</w:t>
              </w:r>
            </w:hyperlink>
            <w:r w:rsidRPr="00260675">
              <w:rPr>
                <w:rFonts w:ascii="Arial" w:hAnsi="Arial" w:cs="Arial"/>
                <w:sz w:val="18"/>
                <w:szCs w:val="18"/>
              </w:rPr>
              <w:t xml:space="preserve"> </w:t>
            </w:r>
          </w:p>
          <w:p w:rsidR="00E37AC5" w:rsidRPr="00260675" w:rsidRDefault="004C1D12" w:rsidP="00CB4667">
            <w:pPr>
              <w:numPr>
                <w:ilvl w:val="0"/>
                <w:numId w:val="9"/>
              </w:numPr>
              <w:bidi w:val="0"/>
              <w:spacing w:before="120" w:after="120" w:line="300" w:lineRule="exact"/>
              <w:ind w:left="360"/>
              <w:rPr>
                <w:rFonts w:ascii="Arial" w:hAnsi="Arial" w:cs="Arial"/>
                <w:sz w:val="18"/>
                <w:szCs w:val="18"/>
              </w:rPr>
            </w:pPr>
            <w:r w:rsidRPr="00260675">
              <w:rPr>
                <w:rFonts w:ascii="Arial" w:hAnsi="Arial" w:cs="Arial"/>
                <w:sz w:val="18"/>
                <w:szCs w:val="18"/>
              </w:rPr>
              <w:t xml:space="preserve">Proprietary Software Definition: </w:t>
            </w:r>
            <w:hyperlink r:id="rId19" w:history="1">
              <w:r w:rsidRPr="00260675">
                <w:rPr>
                  <w:rStyle w:val="Hyperlink"/>
                  <w:rFonts w:ascii="Arial" w:hAnsi="Arial" w:cs="Arial"/>
                  <w:sz w:val="18"/>
                  <w:szCs w:val="18"/>
                </w:rPr>
                <w:t>https://www.techopedia.com/definition/4333/proprietary-software</w:t>
              </w:r>
            </w:hyperlink>
            <w:r w:rsidRPr="00260675">
              <w:rPr>
                <w:rFonts w:ascii="Arial" w:hAnsi="Arial" w:cs="Arial"/>
                <w:sz w:val="18"/>
                <w:szCs w:val="18"/>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tl/>
              </w:rPr>
            </w:pPr>
            <w:r w:rsidRPr="00260675">
              <w:rPr>
                <w:rFonts w:ascii="Arial" w:hAnsi="Arial" w:cs="Arial"/>
                <w:sz w:val="18"/>
                <w:szCs w:val="18"/>
                <w:rtl/>
              </w:rPr>
              <w:t>מאגרי מידע כנכס ארגוני</w:t>
            </w:r>
          </w:p>
        </w:tc>
        <w:tc>
          <w:tcPr>
            <w:tcW w:w="5760" w:type="dxa"/>
          </w:tcPr>
          <w:p w:rsidR="00E37AC5" w:rsidRPr="00260675" w:rsidRDefault="00B67B1D"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גזל סוד מסחרי – חוק עוולות מסחריות, התשנ"ט – 1999, סעיפים 5-10.</w:t>
            </w:r>
          </w:p>
          <w:p w:rsidR="00B67B1D" w:rsidRPr="00260675" w:rsidRDefault="009A1CFC"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 xml:space="preserve">ע"א 8485/08 </w:t>
            </w:r>
            <w:r w:rsidRPr="00260675">
              <w:rPr>
                <w:rFonts w:ascii="Arial" w:hAnsi="Arial" w:cs="Arial"/>
                <w:b/>
                <w:bCs/>
                <w:sz w:val="18"/>
                <w:szCs w:val="18"/>
              </w:rPr>
              <w:t>The FA Premier League Ltd</w:t>
            </w:r>
            <w:r w:rsidRPr="00260675">
              <w:rPr>
                <w:rFonts w:ascii="Arial" w:hAnsi="Arial" w:cs="Arial"/>
                <w:b/>
                <w:bCs/>
                <w:sz w:val="18"/>
                <w:szCs w:val="18"/>
                <w:rtl/>
              </w:rPr>
              <w:t>. נ' המועצה להסדר ההימורים בספורט</w:t>
            </w:r>
            <w:r w:rsidRPr="00260675">
              <w:rPr>
                <w:rFonts w:ascii="Arial" w:hAnsi="Arial" w:cs="Arial"/>
                <w:sz w:val="18"/>
                <w:szCs w:val="18"/>
                <w:rtl/>
              </w:rPr>
              <w:t>, ניתן ב- 14.3.2010.</w:t>
            </w:r>
          </w:p>
          <w:p w:rsidR="001A04E9" w:rsidRPr="00260675" w:rsidRDefault="001A04E9"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רע"א 2516/05</w:t>
            </w:r>
            <w:r w:rsidRPr="00260675">
              <w:rPr>
                <w:rFonts w:ascii="Arial" w:hAnsi="Arial" w:cs="Arial"/>
                <w:b/>
                <w:bCs/>
                <w:sz w:val="18"/>
                <w:szCs w:val="18"/>
                <w:rtl/>
              </w:rPr>
              <w:t xml:space="preserve"> מעריב - הוצאת מודיעין בע"מ נ' חברת אול יו ניד בע"מ </w:t>
            </w:r>
            <w:r w:rsidRPr="00260675">
              <w:rPr>
                <w:rFonts w:ascii="Arial" w:hAnsi="Arial" w:cs="Arial"/>
                <w:sz w:val="18"/>
                <w:szCs w:val="18"/>
                <w:rtl/>
              </w:rPr>
              <w:t>(7.5.2006).</w:t>
            </w:r>
          </w:p>
          <w:p w:rsidR="009A1CFC" w:rsidRPr="00260675" w:rsidRDefault="001A04E9" w:rsidP="003663DB">
            <w:pPr>
              <w:numPr>
                <w:ilvl w:val="0"/>
                <w:numId w:val="13"/>
              </w:numPr>
              <w:spacing w:before="120" w:after="120" w:line="300" w:lineRule="exact"/>
              <w:ind w:left="360"/>
              <w:rPr>
                <w:rFonts w:ascii="Arial" w:hAnsi="Arial" w:cs="Arial"/>
                <w:sz w:val="18"/>
                <w:szCs w:val="18"/>
              </w:rPr>
            </w:pPr>
            <w:r w:rsidRPr="00260675">
              <w:rPr>
                <w:rFonts w:ascii="Arial" w:hAnsi="Arial" w:cs="Arial"/>
                <w:sz w:val="18"/>
                <w:szCs w:val="18"/>
                <w:rtl/>
              </w:rPr>
              <w:t>רע"א 8304/09</w:t>
            </w:r>
            <w:r w:rsidRPr="00260675">
              <w:rPr>
                <w:rFonts w:ascii="Arial" w:hAnsi="Arial" w:cs="Arial"/>
                <w:b/>
                <w:bCs/>
                <w:sz w:val="18"/>
                <w:szCs w:val="18"/>
                <w:rtl/>
              </w:rPr>
              <w:t xml:space="preserve"> בזק החברה הישראלית לתקשורת בע"מ נ' דפי זהב בע"מ </w:t>
            </w:r>
            <w:r w:rsidRPr="00260675">
              <w:rPr>
                <w:rFonts w:ascii="Arial" w:hAnsi="Arial" w:cs="Arial"/>
                <w:sz w:val="18"/>
                <w:szCs w:val="18"/>
                <w:rtl/>
              </w:rPr>
              <w:t>(1.12.2009)</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פטנטים – מבוא והיכרות עם הפרקטיקה.</w:t>
            </w:r>
          </w:p>
        </w:tc>
        <w:tc>
          <w:tcPr>
            <w:tcW w:w="5760" w:type="dxa"/>
          </w:tcPr>
          <w:p w:rsidR="004C1D12" w:rsidRPr="00260675" w:rsidRDefault="004C1D12" w:rsidP="003663DB">
            <w:pPr>
              <w:pStyle w:val="a9"/>
              <w:numPr>
                <w:ilvl w:val="0"/>
                <w:numId w:val="11"/>
              </w:numPr>
              <w:bidi/>
              <w:spacing w:before="120" w:after="120" w:line="300" w:lineRule="exact"/>
              <w:ind w:left="360"/>
              <w:contextualSpacing w:val="0"/>
              <w:rPr>
                <w:rFonts w:ascii="Arial" w:hAnsi="Arial" w:cs="Arial"/>
                <w:sz w:val="18"/>
                <w:szCs w:val="18"/>
              </w:rPr>
            </w:pPr>
            <w:r w:rsidRPr="00260675">
              <w:rPr>
                <w:rFonts w:ascii="Arial" w:hAnsi="Arial" w:cs="Arial"/>
                <w:sz w:val="18"/>
                <w:szCs w:val="18"/>
                <w:rtl/>
              </w:rPr>
              <w:t>חוק הפטנטים, תשכ"ז – 1967, סעיפים 2, 3, 4 ו – 5, 132 – 134, 82-86.</w:t>
            </w:r>
          </w:p>
          <w:p w:rsidR="004C1D12" w:rsidRPr="00260675" w:rsidRDefault="001A04E9" w:rsidP="003663DB">
            <w:pPr>
              <w:pStyle w:val="a9"/>
              <w:numPr>
                <w:ilvl w:val="0"/>
                <w:numId w:val="11"/>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PWC – 2015 Patent Litigation Study - </w:t>
            </w:r>
            <w:hyperlink r:id="rId20" w:history="1">
              <w:r w:rsidRPr="00260675">
                <w:rPr>
                  <w:rStyle w:val="Hyperlink"/>
                  <w:rFonts w:ascii="Arial" w:hAnsi="Arial" w:cs="Arial"/>
                  <w:sz w:val="18"/>
                  <w:szCs w:val="18"/>
                </w:rPr>
                <w:t>https://www.pwc.com/us/en/forensic-services/publications/assets/2015-pwc-patent-litigation-study.pdf</w:t>
              </w:r>
            </w:hyperlink>
            <w:r w:rsidRPr="00260675">
              <w:rPr>
                <w:rFonts w:ascii="Arial" w:hAnsi="Arial" w:cs="Arial"/>
                <w:sz w:val="18"/>
                <w:szCs w:val="18"/>
              </w:rPr>
              <w:t xml:space="preserve"> </w:t>
            </w:r>
          </w:p>
          <w:p w:rsidR="004C1D12" w:rsidRPr="00260675" w:rsidRDefault="00151782" w:rsidP="003663DB">
            <w:pPr>
              <w:pStyle w:val="a9"/>
              <w:numPr>
                <w:ilvl w:val="0"/>
                <w:numId w:val="11"/>
              </w:numPr>
              <w:bidi/>
              <w:spacing w:before="120" w:after="120" w:line="300" w:lineRule="exact"/>
              <w:ind w:left="360"/>
              <w:contextualSpacing w:val="0"/>
              <w:rPr>
                <w:rFonts w:ascii="Arial" w:hAnsi="Arial" w:cs="Arial"/>
                <w:sz w:val="18"/>
                <w:szCs w:val="18"/>
                <w:rtl/>
              </w:rPr>
            </w:pPr>
            <w:r w:rsidRPr="00260675">
              <w:rPr>
                <w:rFonts w:ascii="Arial" w:hAnsi="Arial" w:cs="Arial"/>
                <w:sz w:val="18"/>
                <w:szCs w:val="18"/>
                <w:rtl/>
              </w:rPr>
              <w:t xml:space="preserve">רשות הפטנטים – הוראות עבודה בחינת בקשה לפטנט – מהי אמצאה כשירת פטנט? </w:t>
            </w:r>
          </w:p>
          <w:p w:rsidR="00E37AC5" w:rsidRPr="00260675" w:rsidRDefault="00E37AC5" w:rsidP="003663DB">
            <w:pPr>
              <w:spacing w:before="120" w:after="120" w:line="300" w:lineRule="exact"/>
              <w:rPr>
                <w:rFonts w:ascii="Arial" w:hAnsi="Arial" w:cs="Arial"/>
                <w:sz w:val="18"/>
                <w:szCs w:val="18"/>
              </w:rPr>
            </w:pPr>
          </w:p>
        </w:tc>
        <w:tc>
          <w:tcPr>
            <w:tcW w:w="723" w:type="dxa"/>
          </w:tcPr>
          <w:p w:rsidR="00E37AC5" w:rsidRPr="00260675" w:rsidRDefault="00EA13FE" w:rsidP="003663DB">
            <w:pPr>
              <w:spacing w:before="120" w:after="120" w:line="300" w:lineRule="exact"/>
              <w:rPr>
                <w:rFonts w:ascii="Arial" w:hAnsi="Arial" w:cs="Arial"/>
                <w:sz w:val="18"/>
                <w:szCs w:val="18"/>
              </w:rPr>
            </w:pPr>
            <w:r w:rsidRPr="00260675">
              <w:rPr>
                <w:rFonts w:ascii="Arial" w:hAnsi="Arial" w:cs="Arial"/>
                <w:sz w:val="18"/>
                <w:szCs w:val="18"/>
                <w:rtl/>
              </w:rPr>
              <w:lastRenderedPageBreak/>
              <w:t>הרצאת אורח</w:t>
            </w: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F91D74"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המעבר לשירותי ענן – אתגרים ופתרונות</w:t>
            </w:r>
          </w:p>
        </w:tc>
        <w:tc>
          <w:tcPr>
            <w:tcW w:w="5760" w:type="dxa"/>
          </w:tcPr>
          <w:p w:rsidR="00EA13FE" w:rsidRPr="00260675" w:rsidRDefault="00EA13FE" w:rsidP="003663DB">
            <w:pPr>
              <w:pStyle w:val="a9"/>
              <w:numPr>
                <w:ilvl w:val="0"/>
                <w:numId w:val="4"/>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Article 29 Data Protection Working Party – Opinion 05/2012 on Cloud Computing. Available at: </w:t>
            </w:r>
            <w:hyperlink r:id="rId21" w:history="1">
              <w:r w:rsidRPr="00260675">
                <w:rPr>
                  <w:rStyle w:val="Hyperlink"/>
                  <w:rFonts w:ascii="Arial" w:hAnsi="Arial" w:cs="Arial"/>
                  <w:sz w:val="18"/>
                  <w:szCs w:val="18"/>
                </w:rPr>
                <w:t>http://ec.europa.eu/justice/data-protection/article-29/documentation/opinion-recommendation/files/2012/wp196_en.pdf</w:t>
              </w:r>
            </w:hyperlink>
          </w:p>
          <w:p w:rsidR="00E37AC5" w:rsidRPr="00260675" w:rsidRDefault="00151782" w:rsidP="003663DB">
            <w:pPr>
              <w:pStyle w:val="a9"/>
              <w:numPr>
                <w:ilvl w:val="0"/>
                <w:numId w:val="4"/>
              </w:numPr>
              <w:bidi/>
              <w:spacing w:before="120" w:after="120" w:line="300" w:lineRule="exact"/>
              <w:ind w:left="360"/>
              <w:contextualSpacing w:val="0"/>
              <w:rPr>
                <w:rFonts w:ascii="Arial" w:hAnsi="Arial" w:cs="Arial"/>
                <w:sz w:val="18"/>
                <w:szCs w:val="18"/>
              </w:rPr>
            </w:pPr>
            <w:r w:rsidRPr="00260675">
              <w:rPr>
                <w:rFonts w:ascii="Arial" w:hAnsi="Arial" w:cs="Arial"/>
                <w:sz w:val="18"/>
                <w:szCs w:val="18"/>
                <w:rtl/>
              </w:rPr>
              <w:t xml:space="preserve">בנק ישראל – ניהול סיכונים בסביבת מחשוב ענן. </w:t>
            </w:r>
            <w:hyperlink r:id="rId22" w:history="1">
              <w:r w:rsidRPr="00260675">
                <w:rPr>
                  <w:rStyle w:val="Hyperlink"/>
                  <w:rFonts w:ascii="Arial" w:hAnsi="Arial" w:cs="Arial"/>
                  <w:sz w:val="18"/>
                  <w:szCs w:val="18"/>
                </w:rPr>
                <w:t>http://bit.ly/1Q8ZCdw</w:t>
              </w:r>
            </w:hyperlink>
            <w:r w:rsidRPr="00260675">
              <w:rPr>
                <w:rFonts w:ascii="Arial" w:hAnsi="Arial" w:cs="Arial"/>
                <w:color w:val="A3AAAE"/>
                <w:sz w:val="18"/>
                <w:szCs w:val="18"/>
                <w:rtl/>
              </w:rPr>
              <w:t xml:space="preserve"> </w:t>
            </w:r>
          </w:p>
          <w:p w:rsidR="00151782" w:rsidRPr="00260675" w:rsidRDefault="00151782" w:rsidP="003663DB">
            <w:pPr>
              <w:pStyle w:val="a9"/>
              <w:numPr>
                <w:ilvl w:val="0"/>
                <w:numId w:val="4"/>
              </w:numPr>
              <w:bidi/>
              <w:spacing w:before="120" w:after="120" w:line="300" w:lineRule="exact"/>
              <w:ind w:left="360"/>
              <w:contextualSpacing w:val="0"/>
              <w:rPr>
                <w:rFonts w:ascii="Arial" w:hAnsi="Arial" w:cs="Arial"/>
                <w:sz w:val="18"/>
                <w:szCs w:val="18"/>
              </w:rPr>
            </w:pPr>
            <w:r w:rsidRPr="00260675">
              <w:rPr>
                <w:rFonts w:ascii="Arial" w:hAnsi="Arial" w:cs="Arial"/>
                <w:sz w:val="18"/>
                <w:szCs w:val="18"/>
                <w:rtl/>
              </w:rPr>
              <w:t xml:space="preserve">משרד האוצר, אגף שוק ההון, ביטוח וחיסכון – ניהול סיכוני אבטחת מידע בגופים מוסדיים – טיוטה (11.10.2015) </w:t>
            </w:r>
            <w:hyperlink r:id="rId23" w:history="1">
              <w:r w:rsidRPr="00260675">
                <w:rPr>
                  <w:rStyle w:val="Hyperlink"/>
                  <w:rFonts w:ascii="Arial" w:hAnsi="Arial" w:cs="Arial"/>
                  <w:sz w:val="18"/>
                  <w:szCs w:val="18"/>
                </w:rPr>
                <w:t>http://bit.ly/216osBT</w:t>
              </w:r>
            </w:hyperlink>
            <w:r w:rsidRPr="00260675">
              <w:rPr>
                <w:rFonts w:ascii="Arial" w:hAnsi="Arial" w:cs="Arial"/>
                <w:color w:val="A3AAAE"/>
                <w:sz w:val="18"/>
                <w:szCs w:val="18"/>
                <w:rtl/>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הגנת מידע ופרטיות – כללי בסיס וניהול ארגוני</w:t>
            </w:r>
          </w:p>
        </w:tc>
        <w:tc>
          <w:tcPr>
            <w:tcW w:w="5760" w:type="dxa"/>
          </w:tcPr>
          <w:p w:rsidR="00EA13FE" w:rsidRPr="00260675" w:rsidRDefault="00EA13FE" w:rsidP="003663DB">
            <w:pPr>
              <w:pStyle w:val="a9"/>
              <w:numPr>
                <w:ilvl w:val="0"/>
                <w:numId w:val="3"/>
              </w:numPr>
              <w:bidi/>
              <w:spacing w:before="120" w:after="120" w:line="300" w:lineRule="exact"/>
              <w:ind w:left="360"/>
              <w:contextualSpacing w:val="0"/>
              <w:rPr>
                <w:rFonts w:ascii="Arial" w:hAnsi="Arial" w:cs="Arial"/>
                <w:sz w:val="18"/>
                <w:szCs w:val="18"/>
                <w:rtl/>
              </w:rPr>
            </w:pPr>
            <w:r w:rsidRPr="00260675">
              <w:rPr>
                <w:rFonts w:ascii="Arial" w:hAnsi="Arial" w:cs="Arial"/>
                <w:sz w:val="18"/>
                <w:szCs w:val="18"/>
                <w:rtl/>
              </w:rPr>
              <w:t xml:space="preserve">רע"א 4447/07 </w:t>
            </w:r>
            <w:r w:rsidRPr="00260675">
              <w:rPr>
                <w:rFonts w:ascii="Arial" w:hAnsi="Arial" w:cs="Arial"/>
                <w:b/>
                <w:bCs/>
                <w:sz w:val="18"/>
                <w:szCs w:val="18"/>
                <w:rtl/>
              </w:rPr>
              <w:t>רמי מור נ' ברק אי.טי.סי</w:t>
            </w:r>
            <w:r w:rsidRPr="00260675">
              <w:rPr>
                <w:rFonts w:ascii="Arial" w:hAnsi="Arial" w:cs="Arial"/>
                <w:sz w:val="18"/>
                <w:szCs w:val="18"/>
                <w:rtl/>
              </w:rPr>
              <w:t xml:space="preserve"> (פסק דין מיום 25.3.2010). פסק הדין זמין ב: </w:t>
            </w:r>
            <w:hyperlink r:id="rId24" w:history="1">
              <w:r w:rsidRPr="00260675">
                <w:rPr>
                  <w:rStyle w:val="Hyperlink"/>
                  <w:rFonts w:ascii="Arial" w:hAnsi="Arial" w:cs="Arial"/>
                  <w:sz w:val="18"/>
                  <w:szCs w:val="18"/>
                </w:rPr>
                <w:t>http://elyon1.court.gov.il/files/07/470/044/p10/07044470.p10.htm</w:t>
              </w:r>
            </w:hyperlink>
            <w:r w:rsidRPr="00260675">
              <w:rPr>
                <w:rFonts w:ascii="Arial" w:hAnsi="Arial" w:cs="Arial"/>
                <w:sz w:val="18"/>
                <w:szCs w:val="18"/>
                <w:rtl/>
              </w:rPr>
              <w:t xml:space="preserve">, סעיפים 13 – 21 לפסק הדין. </w:t>
            </w:r>
          </w:p>
          <w:p w:rsidR="00151782" w:rsidRPr="00260675" w:rsidRDefault="00151782" w:rsidP="003663DB">
            <w:pPr>
              <w:pStyle w:val="a9"/>
              <w:numPr>
                <w:ilvl w:val="0"/>
                <w:numId w:val="3"/>
              </w:numPr>
              <w:bidi/>
              <w:spacing w:before="120" w:after="120" w:line="300" w:lineRule="exact"/>
              <w:contextualSpacing w:val="0"/>
              <w:jc w:val="both"/>
              <w:rPr>
                <w:rFonts w:ascii="Arial" w:hAnsi="Arial" w:cs="Arial"/>
                <w:sz w:val="18"/>
                <w:szCs w:val="18"/>
              </w:rPr>
            </w:pPr>
            <w:r w:rsidRPr="00260675">
              <w:rPr>
                <w:rFonts w:ascii="Arial" w:hAnsi="Arial" w:cs="Arial"/>
                <w:sz w:val="18"/>
                <w:szCs w:val="18"/>
                <w:rtl/>
              </w:rPr>
              <w:t>חוק הגנת הפרטיות, התשמ"א – 1981, סעיפים 1, 2, 7, 8.</w:t>
            </w:r>
          </w:p>
          <w:p w:rsidR="00EA13FE" w:rsidRPr="00260675" w:rsidRDefault="00EA13FE" w:rsidP="003663DB">
            <w:pPr>
              <w:pStyle w:val="a9"/>
              <w:numPr>
                <w:ilvl w:val="0"/>
                <w:numId w:val="3"/>
              </w:numPr>
              <w:bidi/>
              <w:spacing w:before="120" w:after="120" w:line="300" w:lineRule="exact"/>
              <w:contextualSpacing w:val="0"/>
              <w:jc w:val="both"/>
              <w:rPr>
                <w:rFonts w:ascii="Arial" w:hAnsi="Arial" w:cs="Arial"/>
                <w:sz w:val="18"/>
                <w:szCs w:val="18"/>
                <w:rtl/>
              </w:rPr>
            </w:pPr>
            <w:r w:rsidRPr="00260675">
              <w:rPr>
                <w:rFonts w:ascii="Arial" w:hAnsi="Arial" w:cs="Arial"/>
                <w:sz w:val="18"/>
                <w:szCs w:val="18"/>
                <w:rtl/>
              </w:rPr>
              <w:t>חוק יסוד: כבוד האדם וחירותו, ס' 7.</w:t>
            </w:r>
          </w:p>
          <w:p w:rsidR="00EA13FE" w:rsidRPr="00260675" w:rsidRDefault="00EA13FE" w:rsidP="003663DB">
            <w:pPr>
              <w:pStyle w:val="a9"/>
              <w:numPr>
                <w:ilvl w:val="0"/>
                <w:numId w:val="3"/>
              </w:numPr>
              <w:bidi/>
              <w:spacing w:before="120" w:after="120" w:line="300" w:lineRule="exact"/>
              <w:contextualSpacing w:val="0"/>
              <w:jc w:val="both"/>
              <w:rPr>
                <w:rFonts w:ascii="Arial" w:hAnsi="Arial" w:cs="Arial"/>
                <w:sz w:val="18"/>
                <w:szCs w:val="18"/>
              </w:rPr>
            </w:pPr>
            <w:r w:rsidRPr="00260675">
              <w:rPr>
                <w:rFonts w:ascii="Arial" w:hAnsi="Arial" w:cs="Arial"/>
                <w:sz w:val="18"/>
                <w:szCs w:val="18"/>
                <w:rtl/>
              </w:rPr>
              <w:t xml:space="preserve">מיכאל בירנהק, שליטה והסכמה: הבסיס העיוני של הזכות לפרטיות, משפט וממשל י"א תשס"ח 11. </w:t>
            </w:r>
            <w:r w:rsidRPr="00260675">
              <w:rPr>
                <w:rFonts w:ascii="Arial" w:hAnsi="Arial" w:cs="Arial"/>
                <w:b/>
                <w:bCs/>
                <w:sz w:val="18"/>
                <w:szCs w:val="18"/>
                <w:rtl/>
              </w:rPr>
              <w:t xml:space="preserve">פרק ג' – פרטיות כשליטה. </w:t>
            </w:r>
          </w:p>
          <w:p w:rsidR="00E37AC5" w:rsidRPr="00260675" w:rsidRDefault="00E37AC5" w:rsidP="003663DB">
            <w:pPr>
              <w:spacing w:before="120" w:after="120" w:line="300" w:lineRule="exact"/>
              <w:rPr>
                <w:rFonts w:ascii="Arial" w:hAnsi="Arial" w:cs="Arial"/>
                <w:sz w:val="18"/>
                <w:szCs w:val="18"/>
              </w:rPr>
            </w:pP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הגנת מידע אישי – מגמות עולמיות ואתגרים מודרניים</w:t>
            </w:r>
          </w:p>
        </w:tc>
        <w:tc>
          <w:tcPr>
            <w:tcW w:w="5760" w:type="dxa"/>
          </w:tcPr>
          <w:p w:rsidR="00EA13FE" w:rsidRPr="00260675" w:rsidRDefault="00EA13FE" w:rsidP="003663DB">
            <w:pPr>
              <w:pStyle w:val="a9"/>
              <w:numPr>
                <w:ilvl w:val="0"/>
                <w:numId w:val="3"/>
              </w:numPr>
              <w:bidi/>
              <w:spacing w:before="120" w:after="120" w:line="300" w:lineRule="exact"/>
              <w:contextualSpacing w:val="0"/>
              <w:jc w:val="both"/>
              <w:rPr>
                <w:rFonts w:ascii="Arial" w:hAnsi="Arial" w:cs="Arial"/>
                <w:sz w:val="18"/>
                <w:szCs w:val="18"/>
              </w:rPr>
            </w:pPr>
            <w:r w:rsidRPr="00260675">
              <w:rPr>
                <w:rFonts w:ascii="Arial" w:hAnsi="Arial" w:cs="Arial"/>
                <w:sz w:val="18"/>
                <w:szCs w:val="18"/>
                <w:rtl/>
              </w:rPr>
              <w:t xml:space="preserve">עומר טנא, חוק המאגר הביומטרי, סיכונים והזדמנויות, המשפט יז (2), תשע"ג, 421 – 467. זמין ב: </w:t>
            </w:r>
            <w:hyperlink r:id="rId25" w:history="1">
              <w:r w:rsidRPr="00260675">
                <w:rPr>
                  <w:rStyle w:val="Hyperlink"/>
                  <w:rFonts w:ascii="Arial" w:hAnsi="Arial" w:cs="Arial"/>
                  <w:sz w:val="18"/>
                  <w:szCs w:val="18"/>
                </w:rPr>
                <w:t>http://hamishpat.colman.ac.il/files/03_2013/tene.pdf</w:t>
              </w:r>
            </w:hyperlink>
          </w:p>
          <w:p w:rsidR="00E37AC5" w:rsidRPr="00260675" w:rsidRDefault="00EA13FE" w:rsidP="003663DB">
            <w:pPr>
              <w:pStyle w:val="a9"/>
              <w:numPr>
                <w:ilvl w:val="0"/>
                <w:numId w:val="3"/>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Tene, Omer and Polonetsky, Jules, Big Data for All: Privacy and User Control in the Age of Analytics (September 20, 2012). 11 Northwestern Journal of Technology and Intellectual Property 239 (2013). Available at: </w:t>
            </w:r>
            <w:hyperlink r:id="rId26" w:history="1">
              <w:r w:rsidRPr="00260675">
                <w:rPr>
                  <w:rStyle w:val="Hyperlink"/>
                  <w:rFonts w:ascii="Arial" w:hAnsi="Arial" w:cs="Arial"/>
                  <w:sz w:val="18"/>
                  <w:szCs w:val="18"/>
                </w:rPr>
                <w:t>http://papers.ssrn.com/sol3/papers.cfm?abstract_id=2149364</w:t>
              </w:r>
            </w:hyperlink>
            <w:r w:rsidRPr="00260675">
              <w:rPr>
                <w:rFonts w:ascii="Arial" w:hAnsi="Arial" w:cs="Arial"/>
                <w:sz w:val="18"/>
                <w:szCs w:val="18"/>
              </w:rPr>
              <w:t xml:space="preserve">. </w:t>
            </w:r>
            <w:r w:rsidRPr="00260675">
              <w:rPr>
                <w:rFonts w:ascii="Arial" w:hAnsi="Arial" w:cs="Arial"/>
                <w:b/>
                <w:bCs/>
                <w:sz w:val="18"/>
                <w:szCs w:val="18"/>
              </w:rPr>
              <w:t>P. 13-19</w:t>
            </w:r>
            <w:r w:rsidRPr="00260675">
              <w:rPr>
                <w:rFonts w:ascii="Arial" w:hAnsi="Arial" w:cs="Arial"/>
                <w:sz w:val="18"/>
                <w:szCs w:val="18"/>
              </w:rPr>
              <w:t xml:space="preserve"> (Big data – big concerns).</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אתגרי הסייבר </w:t>
            </w:r>
          </w:p>
        </w:tc>
        <w:tc>
          <w:tcPr>
            <w:tcW w:w="5760" w:type="dxa"/>
          </w:tcPr>
          <w:p w:rsidR="0073483E" w:rsidRPr="00260675" w:rsidRDefault="0073483E" w:rsidP="003663DB">
            <w:pPr>
              <w:pStyle w:val="a9"/>
              <w:numPr>
                <w:ilvl w:val="0"/>
                <w:numId w:val="3"/>
              </w:numPr>
              <w:spacing w:before="120" w:after="120" w:line="300" w:lineRule="exact"/>
              <w:contextualSpacing w:val="0"/>
              <w:rPr>
                <w:rFonts w:ascii="Arial" w:hAnsi="Arial" w:cs="Arial"/>
                <w:sz w:val="18"/>
                <w:szCs w:val="18"/>
              </w:rPr>
            </w:pPr>
            <w:r w:rsidRPr="00260675">
              <w:rPr>
                <w:rFonts w:ascii="Arial" w:hAnsi="Arial" w:cs="Arial"/>
                <w:sz w:val="18"/>
                <w:szCs w:val="18"/>
              </w:rPr>
              <w:t xml:space="preserve">Cert-IL – </w:t>
            </w:r>
            <w:r w:rsidRPr="00260675">
              <w:rPr>
                <w:rFonts w:ascii="Arial" w:hAnsi="Arial" w:cs="Arial"/>
                <w:sz w:val="18"/>
                <w:szCs w:val="18"/>
                <w:rtl/>
              </w:rPr>
              <w:t xml:space="preserve">המרכז הלאומי להתמודדות עם איומי סייבר </w:t>
            </w:r>
            <w:r w:rsidRPr="00260675">
              <w:rPr>
                <w:rFonts w:ascii="Arial" w:hAnsi="Arial" w:cs="Arial"/>
                <w:sz w:val="18"/>
                <w:szCs w:val="18"/>
              </w:rPr>
              <w:t xml:space="preserve">– </w:t>
            </w:r>
            <w:r w:rsidRPr="00260675">
              <w:rPr>
                <w:rFonts w:ascii="Arial" w:hAnsi="Arial" w:cs="Arial"/>
                <w:sz w:val="18"/>
                <w:szCs w:val="18"/>
                <w:rtl/>
              </w:rPr>
              <w:t> סיכוני סייבר לארגון</w:t>
            </w:r>
            <w:r w:rsidRPr="00260675">
              <w:rPr>
                <w:rFonts w:ascii="Arial" w:hAnsi="Arial" w:cs="Arial"/>
                <w:sz w:val="18"/>
                <w:szCs w:val="18"/>
              </w:rPr>
              <w:t xml:space="preserve"> </w:t>
            </w:r>
            <w:r w:rsidRPr="00260675">
              <w:rPr>
                <w:rFonts w:ascii="Arial" w:hAnsi="Arial" w:cs="Arial"/>
                <w:color w:val="4F81BD" w:themeColor="accent1"/>
                <w:sz w:val="18"/>
                <w:szCs w:val="18"/>
              </w:rPr>
              <w:t>https://cert.gov.il/Managers/Pages/CyberRisks.aspx</w:t>
            </w:r>
            <w:r w:rsidRPr="00260675">
              <w:rPr>
                <w:rFonts w:ascii="Arial" w:hAnsi="Arial" w:cs="Arial"/>
                <w:sz w:val="18"/>
                <w:szCs w:val="18"/>
                <w:rtl/>
              </w:rPr>
              <w:t xml:space="preserve"> </w:t>
            </w:r>
          </w:p>
          <w:p w:rsidR="0073483E" w:rsidRPr="00260675" w:rsidRDefault="0073483E" w:rsidP="003663DB">
            <w:pPr>
              <w:pStyle w:val="a9"/>
              <w:numPr>
                <w:ilvl w:val="0"/>
                <w:numId w:val="3"/>
              </w:numPr>
              <w:spacing w:before="120" w:after="120" w:line="300" w:lineRule="exact"/>
              <w:contextualSpacing w:val="0"/>
              <w:rPr>
                <w:rFonts w:ascii="Arial" w:hAnsi="Arial" w:cs="Arial"/>
                <w:sz w:val="18"/>
                <w:szCs w:val="18"/>
              </w:rPr>
            </w:pPr>
            <w:r w:rsidRPr="00260675">
              <w:rPr>
                <w:rFonts w:ascii="Arial" w:hAnsi="Arial" w:cs="Arial"/>
                <w:sz w:val="18"/>
                <w:szCs w:val="18"/>
              </w:rPr>
              <w:t xml:space="preserve">The 9 Biggest Data Breaches of All Times: </w:t>
            </w:r>
            <w:hyperlink r:id="rId27" w:history="1">
              <w:r w:rsidRPr="00260675">
                <w:rPr>
                  <w:rStyle w:val="Hyperlink"/>
                  <w:rFonts w:ascii="Arial" w:hAnsi="Arial" w:cs="Arial"/>
                  <w:color w:val="4F81BD" w:themeColor="accent1"/>
                  <w:sz w:val="18"/>
                  <w:szCs w:val="18"/>
                </w:rPr>
                <w:t>http://www.huffingtonpost.com/entry/biggest-worst-data-breaches-hacks_us_55d4b5a5e4b07addcb44fd9e</w:t>
              </w:r>
            </w:hyperlink>
            <w:r w:rsidRPr="00260675">
              <w:rPr>
                <w:rFonts w:ascii="Arial" w:hAnsi="Arial" w:cs="Arial"/>
                <w:color w:val="4F81BD" w:themeColor="accent1"/>
                <w:sz w:val="18"/>
                <w:szCs w:val="18"/>
              </w:rPr>
              <w:t xml:space="preserve">   </w:t>
            </w:r>
          </w:p>
          <w:p w:rsidR="0073483E" w:rsidRPr="00260675" w:rsidRDefault="0073483E" w:rsidP="003663DB">
            <w:pPr>
              <w:pStyle w:val="2"/>
              <w:numPr>
                <w:ilvl w:val="0"/>
                <w:numId w:val="3"/>
              </w:numPr>
              <w:shd w:val="clear" w:color="auto" w:fill="FFFFFF"/>
              <w:bidi w:val="0"/>
              <w:spacing w:before="120" w:after="120" w:line="300" w:lineRule="exact"/>
              <w:outlineLvl w:val="1"/>
              <w:rPr>
                <w:rStyle w:val="Hyperlink"/>
                <w:rFonts w:ascii="Arial" w:hAnsi="Arial" w:cs="Arial"/>
                <w:color w:val="4F81BD" w:themeColor="accent1"/>
                <w:sz w:val="18"/>
                <w:szCs w:val="18"/>
              </w:rPr>
            </w:pPr>
            <w:r w:rsidRPr="00260675">
              <w:rPr>
                <w:rFonts w:ascii="Arial" w:hAnsi="Arial" w:cs="Arial"/>
                <w:b w:val="0"/>
                <w:bCs w:val="0"/>
                <w:i w:val="0"/>
                <w:iCs w:val="0"/>
                <w:sz w:val="18"/>
                <w:szCs w:val="18"/>
              </w:rPr>
              <w:t>Time.com - These 5 Facts Explain the Threat of Cyber Warfare</w:t>
            </w:r>
            <w:r w:rsidRPr="00260675">
              <w:rPr>
                <w:rFonts w:ascii="Arial" w:eastAsia="Times New Roman" w:hAnsi="Arial" w:cs="Arial"/>
                <w:b w:val="0"/>
                <w:bCs w:val="0"/>
                <w:i w:val="0"/>
                <w:iCs w:val="0"/>
                <w:sz w:val="18"/>
                <w:szCs w:val="18"/>
              </w:rPr>
              <w:t xml:space="preserve"> - </w:t>
            </w:r>
            <w:hyperlink r:id="rId28" w:history="1">
              <w:r w:rsidRPr="00260675">
                <w:rPr>
                  <w:rStyle w:val="Hyperlink"/>
                  <w:rFonts w:ascii="Arial" w:hAnsi="Arial" w:cs="Arial"/>
                  <w:b w:val="0"/>
                  <w:bCs w:val="0"/>
                  <w:i w:val="0"/>
                  <w:iCs w:val="0"/>
                  <w:color w:val="4F81BD" w:themeColor="accent1"/>
                  <w:sz w:val="18"/>
                  <w:szCs w:val="18"/>
                </w:rPr>
                <w:t>http://time.com/3928086/these-5-facts-explain-the-threat-of-cyber-warfare/</w:t>
              </w:r>
            </w:hyperlink>
            <w:r w:rsidRPr="00260675">
              <w:rPr>
                <w:rStyle w:val="Hyperlink"/>
                <w:rFonts w:ascii="Arial" w:hAnsi="Arial" w:cs="Arial"/>
                <w:color w:val="4F81BD" w:themeColor="accent1"/>
                <w:sz w:val="18"/>
                <w:szCs w:val="18"/>
              </w:rPr>
              <w:t xml:space="preserve"> </w:t>
            </w:r>
          </w:p>
          <w:p w:rsidR="00654230" w:rsidRPr="00260675" w:rsidRDefault="00654230" w:rsidP="003663DB">
            <w:pPr>
              <w:pStyle w:val="a9"/>
              <w:spacing w:before="120" w:after="120" w:line="300" w:lineRule="exact"/>
              <w:contextualSpacing w:val="0"/>
              <w:rPr>
                <w:rFonts w:ascii="Arial" w:hAnsi="Arial" w:cs="Arial"/>
                <w:sz w:val="18"/>
                <w:szCs w:val="18"/>
              </w:rPr>
            </w:pPr>
          </w:p>
        </w:tc>
        <w:tc>
          <w:tcPr>
            <w:tcW w:w="723" w:type="dxa"/>
          </w:tcPr>
          <w:p w:rsidR="00E37AC5" w:rsidRPr="00260675" w:rsidRDefault="00EA13FE" w:rsidP="003663DB">
            <w:pPr>
              <w:spacing w:before="120" w:after="120" w:line="300" w:lineRule="exact"/>
              <w:rPr>
                <w:rFonts w:ascii="Arial" w:hAnsi="Arial" w:cs="Arial"/>
                <w:sz w:val="18"/>
                <w:szCs w:val="18"/>
              </w:rPr>
            </w:pPr>
            <w:r w:rsidRPr="00260675">
              <w:rPr>
                <w:rFonts w:ascii="Arial" w:hAnsi="Arial" w:cs="Arial"/>
                <w:sz w:val="18"/>
                <w:szCs w:val="18"/>
                <w:rtl/>
              </w:rPr>
              <w:t>הרצאת אורח</w:t>
            </w: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ה'אינטרנט של הדברים' – המציאות של 'מחר' שמתהווה כבר כיום</w:t>
            </w:r>
          </w:p>
        </w:tc>
        <w:tc>
          <w:tcPr>
            <w:tcW w:w="5760" w:type="dxa"/>
          </w:tcPr>
          <w:p w:rsidR="00E37AC5" w:rsidRPr="00260675" w:rsidRDefault="00F91D74" w:rsidP="003663DB">
            <w:pPr>
              <w:pStyle w:val="a9"/>
              <w:numPr>
                <w:ilvl w:val="0"/>
                <w:numId w:val="3"/>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How long will it take for the Internet of Things Hello Barbie to be hacked? </w:t>
            </w:r>
            <w:hyperlink r:id="rId29" w:history="1">
              <w:r w:rsidRPr="00260675">
                <w:rPr>
                  <w:rStyle w:val="Hyperlink"/>
                  <w:rFonts w:ascii="Arial" w:hAnsi="Arial" w:cs="Arial"/>
                  <w:sz w:val="18"/>
                  <w:szCs w:val="18"/>
                </w:rPr>
                <w:t>http://www.networkworld.com/article/2885757/microsoft-subnet/how-long-will-it-take-for-internet-of-things-hello-barbie-to-be-hacked.html</w:t>
              </w:r>
            </w:hyperlink>
            <w:r w:rsidRPr="00260675">
              <w:rPr>
                <w:rFonts w:ascii="Arial" w:hAnsi="Arial" w:cs="Arial"/>
                <w:sz w:val="18"/>
                <w:szCs w:val="18"/>
              </w:rPr>
              <w:t xml:space="preserve"> </w:t>
            </w:r>
          </w:p>
          <w:p w:rsidR="00616B41" w:rsidRPr="00260675" w:rsidRDefault="00616B41" w:rsidP="003663DB">
            <w:pPr>
              <w:pStyle w:val="a9"/>
              <w:numPr>
                <w:ilvl w:val="0"/>
                <w:numId w:val="3"/>
              </w:numPr>
              <w:spacing w:before="120" w:after="120" w:line="300" w:lineRule="exact"/>
              <w:ind w:left="360"/>
              <w:contextualSpacing w:val="0"/>
              <w:rPr>
                <w:rFonts w:ascii="Arial" w:hAnsi="Arial" w:cs="Arial"/>
                <w:sz w:val="18"/>
                <w:szCs w:val="18"/>
              </w:rPr>
            </w:pPr>
            <w:r w:rsidRPr="00260675">
              <w:rPr>
                <w:rFonts w:ascii="Arial" w:hAnsi="Arial" w:cs="Arial"/>
                <w:sz w:val="18"/>
                <w:szCs w:val="18"/>
              </w:rPr>
              <w:t xml:space="preserve">EU Article 29 Working Party – Opinion 8/2014 on the Recent Developments of the Internet of Things [16.9.2014]. </w:t>
            </w:r>
            <w:hyperlink r:id="rId30" w:history="1">
              <w:r w:rsidRPr="00260675">
                <w:rPr>
                  <w:rStyle w:val="Hyperlink"/>
                  <w:rFonts w:ascii="Arial" w:hAnsi="Arial" w:cs="Arial"/>
                  <w:sz w:val="18"/>
                  <w:szCs w:val="18"/>
                </w:rPr>
                <w:t>http://bit.ly/1smejQi</w:t>
              </w:r>
            </w:hyperlink>
            <w:r w:rsidRPr="00260675">
              <w:rPr>
                <w:rFonts w:ascii="Arial" w:hAnsi="Arial" w:cs="Arial"/>
                <w:color w:val="A3AAAE"/>
                <w:sz w:val="18"/>
                <w:szCs w:val="18"/>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484B93">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מוניטין </w:t>
            </w:r>
            <w:r w:rsidR="00484B93">
              <w:rPr>
                <w:rFonts w:ascii="Arial" w:hAnsi="Arial" w:cs="Arial" w:hint="cs"/>
                <w:sz w:val="18"/>
                <w:szCs w:val="18"/>
                <w:rtl/>
              </w:rPr>
              <w:t>ו</w:t>
            </w:r>
            <w:r w:rsidRPr="00260675">
              <w:rPr>
                <w:rFonts w:ascii="Arial" w:hAnsi="Arial" w:cs="Arial"/>
                <w:sz w:val="18"/>
                <w:szCs w:val="18"/>
                <w:rtl/>
              </w:rPr>
              <w:t>מיתוג – על סימני מסחר והלכות מסחר הוגן</w:t>
            </w:r>
          </w:p>
        </w:tc>
        <w:tc>
          <w:tcPr>
            <w:tcW w:w="5760" w:type="dxa"/>
          </w:tcPr>
          <w:p w:rsidR="00E37AC5" w:rsidRPr="00260675" w:rsidRDefault="00507AFD" w:rsidP="003663DB">
            <w:pPr>
              <w:numPr>
                <w:ilvl w:val="0"/>
                <w:numId w:val="14"/>
              </w:numPr>
              <w:spacing w:before="120" w:after="120" w:line="300" w:lineRule="exact"/>
              <w:ind w:left="360"/>
              <w:rPr>
                <w:rFonts w:ascii="Arial" w:hAnsi="Arial" w:cs="Arial"/>
                <w:sz w:val="18"/>
                <w:szCs w:val="18"/>
              </w:rPr>
            </w:pPr>
            <w:r w:rsidRPr="00260675">
              <w:rPr>
                <w:rFonts w:ascii="Arial" w:hAnsi="Arial" w:cs="Arial"/>
                <w:sz w:val="18"/>
                <w:szCs w:val="18"/>
                <w:rtl/>
              </w:rPr>
              <w:t>פקודת סימני המסחר [נוסח חדש], תשל"ב – 1972, סעיפים 1 (הגדרת "סימן מסחר"</w:t>
            </w:r>
            <w:r w:rsidRPr="00260675">
              <w:rPr>
                <w:rFonts w:ascii="Arial" w:hAnsi="Arial" w:cs="Arial"/>
                <w:sz w:val="18"/>
                <w:szCs w:val="18"/>
              </w:rPr>
              <w:t xml:space="preserve"> </w:t>
            </w:r>
            <w:r w:rsidRPr="00260675">
              <w:rPr>
                <w:rFonts w:ascii="Arial" w:hAnsi="Arial" w:cs="Arial"/>
                <w:sz w:val="18"/>
                <w:szCs w:val="18"/>
                <w:rtl/>
              </w:rPr>
              <w:t xml:space="preserve">, "סימן מסחר מוכר היטב" ו"הפרה"), 8(א), 46, 46א. </w:t>
            </w:r>
          </w:p>
          <w:p w:rsidR="00507AFD" w:rsidRPr="00260675" w:rsidRDefault="00507AFD" w:rsidP="003663DB">
            <w:pPr>
              <w:numPr>
                <w:ilvl w:val="0"/>
                <w:numId w:val="14"/>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עוולות מסחריות, תשנ"ט – 1999, סעיפים 1, 2, 3 ו – 4. </w:t>
            </w:r>
          </w:p>
          <w:p w:rsidR="003F5A95" w:rsidRPr="00260675" w:rsidRDefault="003F5A95" w:rsidP="003663DB">
            <w:pPr>
              <w:numPr>
                <w:ilvl w:val="0"/>
                <w:numId w:val="14"/>
              </w:numPr>
              <w:spacing w:before="120" w:after="120" w:line="300" w:lineRule="exact"/>
              <w:ind w:left="360"/>
              <w:jc w:val="both"/>
              <w:rPr>
                <w:rFonts w:ascii="Arial" w:hAnsi="Arial" w:cs="Arial"/>
                <w:sz w:val="18"/>
                <w:szCs w:val="18"/>
              </w:rPr>
            </w:pPr>
            <w:r w:rsidRPr="00260675">
              <w:rPr>
                <w:rFonts w:ascii="Arial" w:hAnsi="Arial" w:cs="Arial"/>
                <w:sz w:val="18"/>
                <w:szCs w:val="18"/>
                <w:rtl/>
              </w:rPr>
              <w:t>"מתאים לי"</w:t>
            </w:r>
            <w:r w:rsidRPr="00260675">
              <w:rPr>
                <w:rFonts w:ascii="Arial" w:hAnsi="Arial" w:cs="Arial"/>
                <w:sz w:val="18"/>
                <w:szCs w:val="18"/>
              </w:rPr>
              <w:t xml:space="preserve"> </w:t>
            </w:r>
            <w:r w:rsidRPr="00260675">
              <w:rPr>
                <w:rFonts w:ascii="Arial" w:hAnsi="Arial" w:cs="Arial"/>
                <w:sz w:val="18"/>
                <w:szCs w:val="18"/>
                <w:rtl/>
              </w:rPr>
              <w:t>הפסידה ל"קרייזי ליין"</w:t>
            </w:r>
            <w:r w:rsidRPr="00260675">
              <w:rPr>
                <w:rFonts w:ascii="Arial" w:hAnsi="Arial" w:cs="Arial"/>
                <w:sz w:val="18"/>
                <w:szCs w:val="18"/>
              </w:rPr>
              <w:t xml:space="preserve"> </w:t>
            </w:r>
            <w:r w:rsidRPr="00260675">
              <w:rPr>
                <w:rFonts w:ascii="Arial" w:hAnsi="Arial" w:cs="Arial"/>
                <w:sz w:val="18"/>
                <w:szCs w:val="18"/>
                <w:rtl/>
              </w:rPr>
              <w:t xml:space="preserve">בקרב על גוגל </w:t>
            </w:r>
            <w:hyperlink r:id="rId31" w:history="1">
              <w:r w:rsidRPr="00260675">
                <w:rPr>
                  <w:rStyle w:val="Hyperlink"/>
                  <w:rFonts w:ascii="Arial" w:hAnsi="Arial" w:cs="Arial"/>
                  <w:sz w:val="18"/>
                  <w:szCs w:val="18"/>
                </w:rPr>
                <w:t>http://www.ynet.co.il/articles/0,7340,L-3284833,00.html</w:t>
              </w:r>
            </w:hyperlink>
            <w:r w:rsidRPr="00260675">
              <w:rPr>
                <w:rFonts w:ascii="Arial" w:hAnsi="Arial" w:cs="Arial"/>
                <w:sz w:val="18"/>
                <w:szCs w:val="18"/>
                <w:rtl/>
              </w:rPr>
              <w:t xml:space="preserve"> </w:t>
            </w:r>
          </w:p>
          <w:p w:rsidR="007B3DE0" w:rsidRPr="00260675" w:rsidRDefault="007B3DE0" w:rsidP="003663DB">
            <w:pPr>
              <w:numPr>
                <w:ilvl w:val="0"/>
                <w:numId w:val="14"/>
              </w:numPr>
              <w:spacing w:before="120" w:after="120" w:line="300" w:lineRule="exact"/>
              <w:ind w:left="360"/>
              <w:jc w:val="both"/>
              <w:rPr>
                <w:rFonts w:ascii="Arial" w:hAnsi="Arial" w:cs="Arial"/>
                <w:sz w:val="18"/>
                <w:szCs w:val="18"/>
              </w:rPr>
            </w:pPr>
            <w:r w:rsidRPr="00260675">
              <w:rPr>
                <w:rFonts w:ascii="Arial" w:hAnsi="Arial" w:cs="Arial"/>
                <w:sz w:val="18"/>
                <w:szCs w:val="18"/>
                <w:rtl/>
              </w:rPr>
              <w:t xml:space="preserve">דב קליין יחזיר לרשת פרופורציה וגוגל 50 אלף שקל. </w:t>
            </w:r>
            <w:hyperlink r:id="rId32" w:history="1">
              <w:r w:rsidRPr="00260675">
                <w:rPr>
                  <w:rStyle w:val="Hyperlink"/>
                  <w:rFonts w:ascii="Arial" w:hAnsi="Arial" w:cs="Arial"/>
                  <w:sz w:val="18"/>
                  <w:szCs w:val="18"/>
                </w:rPr>
                <w:t>http://www.calcalist.co.il/local/articles/0,7340,L-3608895,00.html</w:t>
              </w:r>
            </w:hyperlink>
            <w:r w:rsidRPr="00260675">
              <w:rPr>
                <w:rFonts w:ascii="Arial" w:hAnsi="Arial" w:cs="Arial"/>
                <w:sz w:val="18"/>
                <w:szCs w:val="18"/>
                <w:rtl/>
              </w:rPr>
              <w:t xml:space="preserve"> </w:t>
            </w:r>
          </w:p>
        </w:tc>
        <w:tc>
          <w:tcPr>
            <w:tcW w:w="723" w:type="dxa"/>
          </w:tcPr>
          <w:p w:rsidR="00E37AC5" w:rsidRPr="00260675" w:rsidRDefault="00E37AC5" w:rsidP="003663DB">
            <w:pPr>
              <w:spacing w:before="120" w:after="120" w:line="300" w:lineRule="exact"/>
              <w:rPr>
                <w:rFonts w:ascii="Arial" w:hAnsi="Arial" w:cs="Arial"/>
                <w:sz w:val="18"/>
                <w:szCs w:val="18"/>
              </w:rPr>
            </w:pPr>
          </w:p>
        </w:tc>
      </w:tr>
      <w:tr w:rsidR="00E37AC5" w:rsidRPr="00260675" w:rsidTr="00484B93">
        <w:trPr>
          <w:jc w:val="center"/>
        </w:trPr>
        <w:tc>
          <w:tcPr>
            <w:tcW w:w="786" w:type="dxa"/>
          </w:tcPr>
          <w:p w:rsidR="00E37AC5" w:rsidRPr="00260675" w:rsidRDefault="00E37AC5" w:rsidP="003663DB">
            <w:pPr>
              <w:numPr>
                <w:ilvl w:val="0"/>
                <w:numId w:val="2"/>
              </w:numPr>
              <w:spacing w:before="120" w:after="120" w:line="300" w:lineRule="exact"/>
              <w:rPr>
                <w:rFonts w:ascii="Arial" w:hAnsi="Arial" w:cs="Arial"/>
                <w:sz w:val="18"/>
                <w:szCs w:val="18"/>
                <w:rtl/>
              </w:rPr>
            </w:pPr>
          </w:p>
        </w:tc>
        <w:tc>
          <w:tcPr>
            <w:tcW w:w="1027" w:type="dxa"/>
          </w:tcPr>
          <w:p w:rsidR="00E37AC5" w:rsidRPr="00260675" w:rsidRDefault="00E37AC5" w:rsidP="003663DB">
            <w:pPr>
              <w:pStyle w:val="a9"/>
              <w:bidi/>
              <w:spacing w:before="120" w:after="120" w:line="300" w:lineRule="exact"/>
              <w:ind w:left="0"/>
              <w:contextualSpacing w:val="0"/>
              <w:rPr>
                <w:rFonts w:ascii="Arial" w:hAnsi="Arial" w:cs="Arial"/>
                <w:sz w:val="18"/>
                <w:szCs w:val="18"/>
              </w:rPr>
            </w:pPr>
            <w:r w:rsidRPr="00260675">
              <w:rPr>
                <w:rFonts w:ascii="Arial" w:hAnsi="Arial" w:cs="Arial"/>
                <w:sz w:val="18"/>
                <w:szCs w:val="18"/>
                <w:rtl/>
              </w:rPr>
              <w:t xml:space="preserve">שיווק ודיוור </w:t>
            </w:r>
          </w:p>
        </w:tc>
        <w:tc>
          <w:tcPr>
            <w:tcW w:w="5760" w:type="dxa"/>
          </w:tcPr>
          <w:p w:rsidR="00E37AC5" w:rsidRPr="00260675" w:rsidRDefault="006C695B" w:rsidP="003663DB">
            <w:pPr>
              <w:numPr>
                <w:ilvl w:val="0"/>
                <w:numId w:val="15"/>
              </w:numPr>
              <w:spacing w:before="120" w:after="120" w:line="300" w:lineRule="exact"/>
              <w:ind w:left="360"/>
              <w:rPr>
                <w:rFonts w:ascii="Arial" w:hAnsi="Arial" w:cs="Arial"/>
                <w:sz w:val="18"/>
                <w:szCs w:val="18"/>
              </w:rPr>
            </w:pPr>
            <w:r w:rsidRPr="00260675">
              <w:rPr>
                <w:rFonts w:ascii="Arial" w:hAnsi="Arial" w:cs="Arial"/>
                <w:sz w:val="18"/>
                <w:szCs w:val="18"/>
                <w:rtl/>
              </w:rPr>
              <w:t xml:space="preserve">סעיף 30א לחוק התקשורת (בזק ושידורים) (תיקון מס' 40), התשס"ח–2008 ("חוק דואר הזבל"). </w:t>
            </w:r>
          </w:p>
          <w:p w:rsidR="006C695B" w:rsidRPr="00260675" w:rsidRDefault="00197C87" w:rsidP="003663DB">
            <w:pPr>
              <w:numPr>
                <w:ilvl w:val="0"/>
                <w:numId w:val="15"/>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הגנת הצרכן, התשמ"א – 1981, סעיף 2. </w:t>
            </w:r>
          </w:p>
          <w:p w:rsidR="00197C87" w:rsidRPr="00260675" w:rsidRDefault="00197C87" w:rsidP="003663DB">
            <w:pPr>
              <w:numPr>
                <w:ilvl w:val="0"/>
                <w:numId w:val="15"/>
              </w:numPr>
              <w:spacing w:before="120" w:after="120" w:line="300" w:lineRule="exact"/>
              <w:ind w:left="360"/>
              <w:rPr>
                <w:rFonts w:ascii="Arial" w:hAnsi="Arial" w:cs="Arial"/>
                <w:sz w:val="18"/>
                <w:szCs w:val="18"/>
              </w:rPr>
            </w:pPr>
            <w:r w:rsidRPr="00260675">
              <w:rPr>
                <w:rFonts w:ascii="Arial" w:hAnsi="Arial" w:cs="Arial"/>
                <w:sz w:val="18"/>
                <w:szCs w:val="18"/>
                <w:rtl/>
              </w:rPr>
              <w:t xml:space="preserve">חוק הגנת הפרטיות, התשמ"א – 1981 – סעיפים 17ד – 17ו. </w:t>
            </w:r>
          </w:p>
        </w:tc>
        <w:tc>
          <w:tcPr>
            <w:tcW w:w="723" w:type="dxa"/>
          </w:tcPr>
          <w:p w:rsidR="00E37AC5" w:rsidRPr="00260675" w:rsidRDefault="00E37AC5" w:rsidP="003663DB">
            <w:pPr>
              <w:spacing w:before="120" w:after="120" w:line="300" w:lineRule="exact"/>
              <w:rPr>
                <w:rFonts w:ascii="Arial" w:hAnsi="Arial" w:cs="Arial"/>
                <w:sz w:val="18"/>
                <w:szCs w:val="18"/>
              </w:rPr>
            </w:pPr>
          </w:p>
        </w:tc>
      </w:tr>
    </w:tbl>
    <w:p w:rsidR="00DD686B" w:rsidRPr="00260675" w:rsidRDefault="00DD686B" w:rsidP="003663DB">
      <w:pPr>
        <w:spacing w:before="120" w:after="120" w:line="300" w:lineRule="exact"/>
        <w:ind w:left="26"/>
        <w:rPr>
          <w:rFonts w:ascii="Arial" w:hAnsi="Arial" w:cs="Arial"/>
          <w:sz w:val="18"/>
          <w:szCs w:val="18"/>
        </w:rPr>
      </w:pPr>
    </w:p>
    <w:p w:rsidR="00DD686B" w:rsidRPr="00260675" w:rsidRDefault="00DD686B" w:rsidP="003663DB">
      <w:pPr>
        <w:spacing w:before="120" w:after="120" w:line="300" w:lineRule="exact"/>
        <w:ind w:left="26"/>
        <w:rPr>
          <w:rFonts w:ascii="Arial" w:hAnsi="Arial" w:cs="Arial"/>
          <w:b/>
          <w:bCs/>
          <w:sz w:val="18"/>
          <w:szCs w:val="18"/>
          <w:rtl/>
        </w:rPr>
      </w:pPr>
      <w:r w:rsidRPr="00260675">
        <w:rPr>
          <w:rFonts w:ascii="Arial" w:hAnsi="Arial" w:cs="Arial"/>
          <w:b/>
          <w:bCs/>
          <w:sz w:val="18"/>
          <w:szCs w:val="18"/>
          <w:rtl/>
        </w:rPr>
        <w:t xml:space="preserve">ג. </w:t>
      </w:r>
      <w:r w:rsidRPr="00260675">
        <w:rPr>
          <w:rFonts w:ascii="Arial" w:hAnsi="Arial" w:cs="Arial"/>
          <w:b/>
          <w:bCs/>
          <w:color w:val="0000FF"/>
          <w:sz w:val="18"/>
          <w:szCs w:val="18"/>
          <w:rtl/>
        </w:rPr>
        <w:t>חובות הקורס</w:t>
      </w:r>
      <w:r w:rsidRPr="00260675">
        <w:rPr>
          <w:rFonts w:ascii="Arial" w:hAnsi="Arial" w:cs="Arial"/>
          <w:b/>
          <w:bCs/>
          <w:sz w:val="18"/>
          <w:szCs w:val="18"/>
          <w:rtl/>
        </w:rPr>
        <w:t>:</w:t>
      </w:r>
    </w:p>
    <w:p w:rsidR="00CB0752" w:rsidRPr="00260675" w:rsidRDefault="00CB0752" w:rsidP="003663DB">
      <w:pPr>
        <w:spacing w:before="120" w:after="120" w:line="300" w:lineRule="exact"/>
        <w:ind w:left="26"/>
        <w:rPr>
          <w:rFonts w:ascii="Arial" w:hAnsi="Arial" w:cs="Arial"/>
          <w:b/>
          <w:bCs/>
          <w:sz w:val="18"/>
          <w:szCs w:val="18"/>
          <w:rtl/>
        </w:rPr>
      </w:pPr>
    </w:p>
    <w:p w:rsidR="00DD686B" w:rsidRPr="00260675" w:rsidRDefault="00DD686B" w:rsidP="003663DB">
      <w:pPr>
        <w:spacing w:before="120" w:after="120" w:line="300" w:lineRule="exact"/>
        <w:ind w:left="26"/>
        <w:rPr>
          <w:rFonts w:ascii="Arial" w:hAnsi="Arial" w:cs="Arial"/>
          <w:b/>
          <w:bCs/>
          <w:sz w:val="18"/>
          <w:szCs w:val="18"/>
        </w:rPr>
      </w:pPr>
      <w:r w:rsidRPr="00260675">
        <w:rPr>
          <w:rFonts w:ascii="Arial" w:hAnsi="Arial" w:cs="Arial"/>
          <w:b/>
          <w:bCs/>
          <w:sz w:val="18"/>
          <w:szCs w:val="18"/>
          <w:rtl/>
        </w:rPr>
        <w:t xml:space="preserve">     דרישות קדם:</w:t>
      </w:r>
      <w:r w:rsidR="00E37AC5" w:rsidRPr="00260675">
        <w:rPr>
          <w:rFonts w:ascii="Arial" w:hAnsi="Arial" w:cs="Arial"/>
          <w:b/>
          <w:bCs/>
          <w:sz w:val="18"/>
          <w:szCs w:val="18"/>
          <w:rtl/>
        </w:rPr>
        <w:t xml:space="preserve"> אין</w:t>
      </w:r>
    </w:p>
    <w:p w:rsidR="00DD686B" w:rsidRPr="00260675" w:rsidRDefault="00DD686B" w:rsidP="003663DB">
      <w:pPr>
        <w:spacing w:before="120" w:after="120" w:line="300" w:lineRule="exact"/>
        <w:ind w:left="226" w:firstLine="26"/>
        <w:rPr>
          <w:rFonts w:ascii="Arial" w:hAnsi="Arial" w:cs="Arial"/>
          <w:b/>
          <w:bCs/>
          <w:sz w:val="18"/>
          <w:szCs w:val="18"/>
        </w:rPr>
      </w:pPr>
      <w:r w:rsidRPr="00260675">
        <w:rPr>
          <w:rFonts w:ascii="Arial" w:hAnsi="Arial" w:cs="Arial"/>
          <w:b/>
          <w:bCs/>
          <w:sz w:val="18"/>
          <w:szCs w:val="18"/>
          <w:rtl/>
        </w:rPr>
        <w:t xml:space="preserve"> חובות / דרישות / מטלות:</w:t>
      </w:r>
      <w:r w:rsidR="00E37AC5" w:rsidRPr="00260675">
        <w:rPr>
          <w:rFonts w:ascii="Arial" w:hAnsi="Arial" w:cs="Arial"/>
          <w:b/>
          <w:bCs/>
          <w:sz w:val="18"/>
          <w:szCs w:val="18"/>
          <w:rtl/>
        </w:rPr>
        <w:t xml:space="preserve"> בחינה – 100% מהציון. </w:t>
      </w:r>
    </w:p>
    <w:p w:rsidR="00DD686B" w:rsidRPr="00260675" w:rsidRDefault="00DD686B" w:rsidP="003663DB">
      <w:pPr>
        <w:spacing w:before="120" w:after="120" w:line="300" w:lineRule="exact"/>
        <w:ind w:left="226" w:firstLine="26"/>
        <w:rPr>
          <w:rFonts w:ascii="Arial" w:hAnsi="Arial" w:cs="Arial"/>
          <w:sz w:val="18"/>
          <w:szCs w:val="18"/>
          <w:rtl/>
        </w:rPr>
      </w:pPr>
      <w:r w:rsidRPr="00260675">
        <w:rPr>
          <w:rFonts w:ascii="Arial" w:hAnsi="Arial" w:cs="Arial"/>
          <w:b/>
          <w:bCs/>
          <w:sz w:val="18"/>
          <w:szCs w:val="18"/>
          <w:rtl/>
        </w:rPr>
        <w:t xml:space="preserve"> מרכיבי הציון הסופי (ציון מספרי / ציון עובר)</w:t>
      </w:r>
      <w:r w:rsidRPr="00260675">
        <w:rPr>
          <w:rFonts w:ascii="Arial" w:hAnsi="Arial" w:cs="Arial"/>
          <w:sz w:val="18"/>
          <w:szCs w:val="18"/>
          <w:rtl/>
        </w:rPr>
        <w:t>:</w:t>
      </w:r>
      <w:r w:rsidR="00E37AC5" w:rsidRPr="00260675">
        <w:rPr>
          <w:rFonts w:ascii="Arial" w:hAnsi="Arial" w:cs="Arial"/>
          <w:sz w:val="18"/>
          <w:szCs w:val="18"/>
          <w:rtl/>
        </w:rPr>
        <w:t xml:space="preserve"> ציון מספרי. </w:t>
      </w:r>
    </w:p>
    <w:p w:rsidR="00CB0752" w:rsidRPr="00260675" w:rsidRDefault="00CB0752" w:rsidP="003663DB">
      <w:pPr>
        <w:spacing w:before="120" w:after="120" w:line="300" w:lineRule="exact"/>
        <w:ind w:left="26"/>
        <w:rPr>
          <w:rFonts w:ascii="Arial" w:hAnsi="Arial" w:cs="Arial"/>
          <w:b/>
          <w:bCs/>
          <w:sz w:val="18"/>
          <w:szCs w:val="18"/>
          <w:rtl/>
        </w:rPr>
      </w:pPr>
    </w:p>
    <w:p w:rsidR="00DD686B" w:rsidRPr="00260675" w:rsidRDefault="00DD686B" w:rsidP="003663DB">
      <w:pPr>
        <w:spacing w:before="120" w:after="120" w:line="300" w:lineRule="exact"/>
        <w:ind w:left="26"/>
        <w:rPr>
          <w:rFonts w:ascii="Arial" w:hAnsi="Arial" w:cs="Arial"/>
          <w:sz w:val="18"/>
          <w:szCs w:val="18"/>
        </w:rPr>
      </w:pPr>
      <w:r w:rsidRPr="00260675">
        <w:rPr>
          <w:rFonts w:ascii="Arial" w:hAnsi="Arial" w:cs="Arial"/>
          <w:b/>
          <w:bCs/>
          <w:sz w:val="18"/>
          <w:szCs w:val="18"/>
          <w:rtl/>
        </w:rPr>
        <w:t xml:space="preserve">ד. </w:t>
      </w:r>
      <w:r w:rsidRPr="00260675">
        <w:rPr>
          <w:rFonts w:ascii="Arial" w:hAnsi="Arial" w:cs="Arial"/>
          <w:b/>
          <w:bCs/>
          <w:color w:val="0000FF"/>
          <w:sz w:val="18"/>
          <w:szCs w:val="18"/>
          <w:rtl/>
        </w:rPr>
        <w:t>ביבליוגרפיה:</w:t>
      </w:r>
      <w:r w:rsidRPr="00260675">
        <w:rPr>
          <w:rFonts w:ascii="Arial" w:hAnsi="Arial" w:cs="Arial"/>
          <w:sz w:val="18"/>
          <w:szCs w:val="18"/>
          <w:rtl/>
        </w:rPr>
        <w:t xml:space="preserve"> (רשות)</w:t>
      </w:r>
    </w:p>
    <w:p w:rsidR="00DD686B" w:rsidRPr="00260675" w:rsidRDefault="00777218" w:rsidP="003663DB">
      <w:pPr>
        <w:numPr>
          <w:ilvl w:val="0"/>
          <w:numId w:val="16"/>
        </w:numPr>
        <w:spacing w:before="120" w:after="120" w:line="300" w:lineRule="exact"/>
        <w:ind w:left="386"/>
        <w:rPr>
          <w:rFonts w:ascii="Arial" w:hAnsi="Arial" w:cs="Arial"/>
          <w:b/>
          <w:bCs/>
          <w:sz w:val="18"/>
          <w:szCs w:val="18"/>
          <w:rtl/>
        </w:rPr>
      </w:pPr>
      <w:r w:rsidRPr="00260675">
        <w:rPr>
          <w:rFonts w:ascii="Arial" w:hAnsi="Arial" w:cs="Arial"/>
          <w:b/>
          <w:bCs/>
          <w:sz w:val="18"/>
          <w:szCs w:val="18"/>
          <w:rtl/>
        </w:rPr>
        <w:t>חוק יסוד:</w:t>
      </w:r>
      <w:r w:rsidRPr="00260675">
        <w:rPr>
          <w:rFonts w:ascii="Arial" w:hAnsi="Arial" w:cs="Arial"/>
          <w:b/>
          <w:bCs/>
          <w:sz w:val="18"/>
          <w:szCs w:val="18"/>
        </w:rPr>
        <w:t xml:space="preserve"> </w:t>
      </w:r>
      <w:r w:rsidRPr="00260675">
        <w:rPr>
          <w:rFonts w:ascii="Arial" w:hAnsi="Arial" w:cs="Arial"/>
          <w:b/>
          <w:bCs/>
          <w:sz w:val="18"/>
          <w:szCs w:val="18"/>
          <w:rtl/>
        </w:rPr>
        <w:t>כבוד האדם וחירותו</w:t>
      </w:r>
    </w:p>
    <w:p w:rsidR="00777218" w:rsidRPr="00260675" w:rsidRDefault="00777218" w:rsidP="003663DB">
      <w:pPr>
        <w:numPr>
          <w:ilvl w:val="0"/>
          <w:numId w:val="16"/>
        </w:numPr>
        <w:shd w:val="clear" w:color="auto" w:fill="FFFFFF"/>
        <w:spacing w:before="120" w:after="120" w:line="300" w:lineRule="exact"/>
        <w:ind w:left="386"/>
        <w:rPr>
          <w:rFonts w:ascii="Arial" w:hAnsi="Arial" w:cs="Arial"/>
          <w:color w:val="000000"/>
          <w:sz w:val="18"/>
          <w:szCs w:val="18"/>
          <w:rtl/>
        </w:rPr>
      </w:pPr>
      <w:r w:rsidRPr="00260675">
        <w:rPr>
          <w:rFonts w:ascii="Arial" w:hAnsi="Arial" w:cs="Arial"/>
          <w:color w:val="000000"/>
          <w:sz w:val="18"/>
          <w:szCs w:val="18"/>
          <w:rtl/>
        </w:rPr>
        <w:t xml:space="preserve">מיכאל בירנהק, מרחב פרטי, הזכות לפרטיות בין משפט לטכנולוגיה, נבו, תשע"א-2011. </w:t>
      </w:r>
    </w:p>
    <w:p w:rsidR="00777218" w:rsidRPr="00260675" w:rsidRDefault="00777218" w:rsidP="003663DB">
      <w:pPr>
        <w:pStyle w:val="NormalWeb"/>
        <w:numPr>
          <w:ilvl w:val="0"/>
          <w:numId w:val="16"/>
        </w:numPr>
        <w:bidi/>
        <w:spacing w:before="120" w:after="120" w:line="300" w:lineRule="exact"/>
        <w:ind w:left="386"/>
        <w:jc w:val="both"/>
        <w:rPr>
          <w:rFonts w:ascii="Arial" w:hAnsi="Arial" w:cs="Arial"/>
          <w:color w:val="000000"/>
          <w:sz w:val="18"/>
          <w:szCs w:val="18"/>
          <w:rtl/>
        </w:rPr>
      </w:pPr>
      <w:r w:rsidRPr="00260675">
        <w:rPr>
          <w:rFonts w:ascii="Arial" w:hAnsi="Arial" w:cs="Arial"/>
          <w:color w:val="000000"/>
          <w:sz w:val="18"/>
          <w:szCs w:val="18"/>
          <w:rtl/>
        </w:rPr>
        <w:t xml:space="preserve">טיוטת תקנות הגנת הפרטיות (אבטחת מידע): </w:t>
      </w:r>
    </w:p>
    <w:p w:rsidR="00777218" w:rsidRPr="00260675" w:rsidRDefault="008F4601" w:rsidP="003663DB">
      <w:pPr>
        <w:numPr>
          <w:ilvl w:val="0"/>
          <w:numId w:val="16"/>
        </w:numPr>
        <w:spacing w:before="120" w:after="120" w:line="300" w:lineRule="exact"/>
        <w:ind w:left="386"/>
        <w:rPr>
          <w:rFonts w:ascii="Arial" w:hAnsi="Arial" w:cs="Arial"/>
          <w:b/>
          <w:bCs/>
          <w:sz w:val="18"/>
          <w:szCs w:val="18"/>
          <w:rtl/>
        </w:rPr>
      </w:pPr>
      <w:hyperlink r:id="rId33" w:history="1">
        <w:r w:rsidR="00777218" w:rsidRPr="00260675">
          <w:rPr>
            <w:rStyle w:val="Hyperlink"/>
            <w:rFonts w:ascii="Arial" w:hAnsi="Arial" w:cs="Arial"/>
            <w:sz w:val="18"/>
            <w:szCs w:val="18"/>
          </w:rPr>
          <w:t>http://www.justice.gov.il/Units/ilita/MainDocs/shlav2.pdf</w:t>
        </w:r>
      </w:hyperlink>
      <w:r w:rsidR="00777218" w:rsidRPr="00260675">
        <w:rPr>
          <w:rFonts w:ascii="Arial" w:hAnsi="Arial" w:cs="Arial"/>
          <w:b/>
          <w:bCs/>
          <w:sz w:val="18"/>
          <w:szCs w:val="18"/>
          <w:rtl/>
        </w:rPr>
        <w:t xml:space="preserve"> </w:t>
      </w:r>
    </w:p>
    <w:p w:rsidR="00777218" w:rsidRPr="00260675" w:rsidRDefault="00777218" w:rsidP="003663DB">
      <w:pPr>
        <w:pStyle w:val="NormalWeb"/>
        <w:numPr>
          <w:ilvl w:val="0"/>
          <w:numId w:val="16"/>
        </w:numPr>
        <w:bidi/>
        <w:spacing w:before="120" w:after="120" w:line="300" w:lineRule="exact"/>
        <w:ind w:left="386"/>
        <w:jc w:val="both"/>
        <w:rPr>
          <w:rFonts w:ascii="Arial" w:hAnsi="Arial" w:cs="Arial"/>
          <w:color w:val="000000"/>
          <w:sz w:val="18"/>
          <w:szCs w:val="18"/>
          <w:rtl/>
        </w:rPr>
      </w:pPr>
      <w:r w:rsidRPr="00260675">
        <w:rPr>
          <w:rFonts w:ascii="Arial" w:hAnsi="Arial" w:cs="Arial"/>
          <w:color w:val="000000"/>
          <w:sz w:val="18"/>
          <w:szCs w:val="18"/>
          <w:rtl/>
        </w:rPr>
        <w:t>חוק החוזים האחידים, התשמ"ב -1982</w:t>
      </w:r>
    </w:p>
    <w:p w:rsidR="00777218" w:rsidRPr="00260675" w:rsidRDefault="00777218" w:rsidP="003663DB">
      <w:pPr>
        <w:numPr>
          <w:ilvl w:val="0"/>
          <w:numId w:val="16"/>
        </w:numPr>
        <w:spacing w:before="120" w:after="120" w:line="300" w:lineRule="exact"/>
        <w:ind w:left="386"/>
        <w:jc w:val="both"/>
        <w:rPr>
          <w:rFonts w:ascii="Arial" w:hAnsi="Arial" w:cs="Arial"/>
          <w:sz w:val="18"/>
          <w:szCs w:val="18"/>
          <w:rtl/>
        </w:rPr>
      </w:pPr>
      <w:r w:rsidRPr="00260675">
        <w:rPr>
          <w:rFonts w:ascii="Arial" w:hAnsi="Arial" w:cs="Arial"/>
          <w:sz w:val="18"/>
          <w:szCs w:val="18"/>
          <w:rtl/>
        </w:rPr>
        <w:t>חוק כרטיסי חיוב, התשמ"ו-1986</w:t>
      </w:r>
    </w:p>
    <w:p w:rsidR="00777218" w:rsidRPr="00260675" w:rsidRDefault="00777218" w:rsidP="003663DB">
      <w:pPr>
        <w:numPr>
          <w:ilvl w:val="0"/>
          <w:numId w:val="16"/>
        </w:numPr>
        <w:spacing w:before="120" w:after="120" w:line="300" w:lineRule="exact"/>
        <w:ind w:left="386"/>
        <w:jc w:val="both"/>
        <w:rPr>
          <w:rFonts w:ascii="Arial" w:hAnsi="Arial" w:cs="Arial"/>
          <w:sz w:val="18"/>
          <w:szCs w:val="18"/>
          <w:rtl/>
        </w:rPr>
      </w:pPr>
      <w:r w:rsidRPr="00260675">
        <w:rPr>
          <w:rFonts w:ascii="Arial" w:hAnsi="Arial" w:cs="Arial"/>
          <w:sz w:val="18"/>
          <w:szCs w:val="18"/>
          <w:rtl/>
        </w:rPr>
        <w:t>טל זרסקי ושמואל בכר, על הסדרה ראויה של חוזים צרכנים מקוונים: בין קידום המסחר המקוון להגנת הצרכן, מחקרי משפט כה, 431.</w:t>
      </w:r>
      <w:r w:rsidR="006D0821" w:rsidRPr="00260675">
        <w:rPr>
          <w:rFonts w:ascii="Arial" w:hAnsi="Arial" w:cs="Arial" w:hint="cs"/>
          <w:sz w:val="18"/>
          <w:szCs w:val="18"/>
          <w:rtl/>
        </w:rPr>
        <w:t xml:space="preserve"> </w:t>
      </w:r>
      <w:hyperlink r:id="rId34" w:history="1">
        <w:r w:rsidR="006D0821" w:rsidRPr="00260675">
          <w:rPr>
            <w:rStyle w:val="Hyperlink"/>
            <w:rFonts w:ascii="Arial" w:hAnsi="Arial" w:cs="Arial"/>
            <w:sz w:val="18"/>
            <w:szCs w:val="18"/>
          </w:rPr>
          <w:t>http://weblaw.haifa.ac.il/he/Faculty/Zarsky/Publications/hasdara.pdf</w:t>
        </w:r>
      </w:hyperlink>
      <w:r w:rsidR="006D0821" w:rsidRPr="00260675">
        <w:rPr>
          <w:rFonts w:ascii="Arial" w:hAnsi="Arial" w:cs="Arial" w:hint="cs"/>
          <w:sz w:val="18"/>
          <w:szCs w:val="18"/>
          <w:rtl/>
        </w:rPr>
        <w:t xml:space="preserve"> </w:t>
      </w:r>
    </w:p>
    <w:p w:rsidR="00777218" w:rsidRPr="00260675" w:rsidRDefault="00777218" w:rsidP="003663DB">
      <w:pPr>
        <w:numPr>
          <w:ilvl w:val="0"/>
          <w:numId w:val="16"/>
        </w:numPr>
        <w:spacing w:before="120" w:after="120" w:line="300" w:lineRule="exact"/>
        <w:ind w:left="386"/>
        <w:rPr>
          <w:rFonts w:ascii="Arial" w:hAnsi="Arial" w:cs="Arial"/>
          <w:sz w:val="18"/>
          <w:szCs w:val="18"/>
          <w:rtl/>
        </w:rPr>
      </w:pPr>
      <w:r w:rsidRPr="00260675">
        <w:rPr>
          <w:rFonts w:ascii="Arial" w:hAnsi="Arial" w:cs="Arial"/>
          <w:sz w:val="18"/>
          <w:szCs w:val="18"/>
          <w:rtl/>
        </w:rPr>
        <w:t xml:space="preserve">תמר קלהורה, הצעת חוק </w:t>
      </w:r>
      <w:r w:rsidR="006D0821" w:rsidRPr="00260675">
        <w:rPr>
          <w:rFonts w:ascii="Arial" w:hAnsi="Arial" w:cs="Arial"/>
          <w:sz w:val="18"/>
          <w:szCs w:val="18"/>
          <w:rtl/>
        </w:rPr>
        <w:t>מסחרי אלקטרוני, מטרות ועקרונות</w:t>
      </w:r>
      <w:r w:rsidR="006D0821" w:rsidRPr="00260675">
        <w:rPr>
          <w:rFonts w:ascii="Arial" w:hAnsi="Arial" w:cs="Arial" w:hint="cs"/>
          <w:sz w:val="18"/>
          <w:szCs w:val="18"/>
          <w:rtl/>
        </w:rPr>
        <w:t xml:space="preserve"> (טיוטה). </w:t>
      </w:r>
      <w:hyperlink r:id="rId35" w:history="1">
        <w:r w:rsidR="006D0821" w:rsidRPr="00260675">
          <w:rPr>
            <w:rStyle w:val="Hyperlink"/>
            <w:rFonts w:ascii="Arial" w:hAnsi="Arial" w:cs="Arial"/>
            <w:sz w:val="18"/>
            <w:szCs w:val="18"/>
          </w:rPr>
          <w:t>http://law.huji.ac.il/upload/kalhora.pdf</w:t>
        </w:r>
      </w:hyperlink>
      <w:r w:rsidR="006D0821" w:rsidRPr="00260675">
        <w:rPr>
          <w:rFonts w:ascii="Arial" w:hAnsi="Arial" w:cs="Arial" w:hint="cs"/>
          <w:sz w:val="18"/>
          <w:szCs w:val="18"/>
          <w:rtl/>
        </w:rPr>
        <w:t xml:space="preserve"> </w:t>
      </w:r>
    </w:p>
    <w:p w:rsidR="00777218" w:rsidRPr="00260675" w:rsidRDefault="00777218" w:rsidP="003663DB">
      <w:pPr>
        <w:numPr>
          <w:ilvl w:val="0"/>
          <w:numId w:val="16"/>
        </w:numPr>
        <w:spacing w:before="120" w:after="120" w:line="300" w:lineRule="exact"/>
        <w:ind w:left="386"/>
        <w:rPr>
          <w:rFonts w:ascii="Arial" w:hAnsi="Arial" w:cs="Arial"/>
          <w:sz w:val="18"/>
          <w:szCs w:val="18"/>
        </w:rPr>
      </w:pPr>
      <w:r w:rsidRPr="00260675">
        <w:rPr>
          <w:rFonts w:ascii="Arial" w:hAnsi="Arial" w:cs="Arial"/>
          <w:sz w:val="18"/>
          <w:szCs w:val="18"/>
          <w:rtl/>
        </w:rPr>
        <w:t xml:space="preserve">תקנות שיוויון זכויות לאנשים עם מוגבלות (התאמות נגישות לשירות), התשע"ג – 2013, סעיף 35 (הנגשת אתרי אינטרנט). </w:t>
      </w:r>
    </w:p>
    <w:p w:rsidR="00111836" w:rsidRPr="00260675" w:rsidRDefault="00111836" w:rsidP="003663DB">
      <w:pPr>
        <w:numPr>
          <w:ilvl w:val="0"/>
          <w:numId w:val="16"/>
        </w:numPr>
        <w:spacing w:before="120" w:after="120" w:line="300" w:lineRule="exact"/>
        <w:ind w:left="360"/>
        <w:rPr>
          <w:rFonts w:ascii="Arial" w:hAnsi="Arial" w:cs="Arial"/>
          <w:sz w:val="18"/>
          <w:szCs w:val="18"/>
          <w:rtl/>
        </w:rPr>
      </w:pPr>
      <w:r w:rsidRPr="00260675">
        <w:rPr>
          <w:rFonts w:ascii="Arial" w:hAnsi="Arial" w:cs="Arial" w:hint="cs"/>
          <w:sz w:val="18"/>
          <w:szCs w:val="18"/>
          <w:rtl/>
        </w:rPr>
        <w:t xml:space="preserve">איגוד האינטרנט הישראלי </w:t>
      </w:r>
      <w:r w:rsidRPr="00260675">
        <w:rPr>
          <w:rFonts w:ascii="Arial" w:hAnsi="Arial" w:cs="Arial"/>
          <w:sz w:val="18"/>
          <w:szCs w:val="18"/>
          <w:rtl/>
        </w:rPr>
        <w:t>–</w:t>
      </w:r>
      <w:r w:rsidRPr="00260675">
        <w:rPr>
          <w:rFonts w:ascii="Arial" w:hAnsi="Arial" w:cs="Arial" w:hint="cs"/>
          <w:sz w:val="18"/>
          <w:szCs w:val="18"/>
          <w:rtl/>
        </w:rPr>
        <w:t xml:space="preserve"> יישוב סכסוכי שמות מתחם (דומיינים) </w:t>
      </w:r>
      <w:r w:rsidRPr="00260675">
        <w:rPr>
          <w:rFonts w:ascii="Arial" w:hAnsi="Arial" w:cs="Arial"/>
          <w:sz w:val="18"/>
          <w:szCs w:val="18"/>
          <w:rtl/>
        </w:rPr>
        <w:t>–</w:t>
      </w:r>
      <w:r w:rsidRPr="00260675">
        <w:rPr>
          <w:rFonts w:ascii="Arial" w:hAnsi="Arial" w:cs="Arial" w:hint="cs"/>
          <w:sz w:val="18"/>
          <w:szCs w:val="18"/>
          <w:rtl/>
        </w:rPr>
        <w:t xml:space="preserve"> </w:t>
      </w:r>
      <w:r w:rsidRPr="00260675">
        <w:rPr>
          <w:rFonts w:ascii="Arial" w:hAnsi="Arial" w:cs="Arial"/>
          <w:sz w:val="18"/>
          <w:szCs w:val="18"/>
        </w:rPr>
        <w:t>IL-DRP</w:t>
      </w:r>
      <w:r w:rsidRPr="00260675">
        <w:rPr>
          <w:rFonts w:ascii="Arial" w:hAnsi="Arial" w:cs="Arial" w:hint="cs"/>
          <w:sz w:val="18"/>
          <w:szCs w:val="18"/>
          <w:rtl/>
        </w:rPr>
        <w:t xml:space="preserve"> - </w:t>
      </w:r>
      <w:hyperlink r:id="rId36" w:history="1">
        <w:r w:rsidRPr="00260675">
          <w:rPr>
            <w:rStyle w:val="Hyperlink"/>
            <w:rFonts w:ascii="Arial" w:hAnsi="Arial" w:cs="Arial"/>
            <w:sz w:val="18"/>
            <w:szCs w:val="18"/>
          </w:rPr>
          <w:t>http://en.isoc.org.il/domains/ildrp.html</w:t>
        </w:r>
      </w:hyperlink>
      <w:r w:rsidRPr="00260675">
        <w:rPr>
          <w:rFonts w:ascii="Arial" w:hAnsi="Arial" w:cs="Arial" w:hint="cs"/>
          <w:sz w:val="18"/>
          <w:szCs w:val="18"/>
          <w:rtl/>
        </w:rPr>
        <w:t xml:space="preserve"> </w:t>
      </w:r>
    </w:p>
    <w:p w:rsidR="00DD686B" w:rsidRPr="00260675" w:rsidRDefault="00DD686B" w:rsidP="003663DB">
      <w:pPr>
        <w:numPr>
          <w:ilvl w:val="0"/>
          <w:numId w:val="16"/>
        </w:numPr>
        <w:bidi w:val="0"/>
        <w:spacing w:before="120" w:after="120" w:line="300" w:lineRule="exact"/>
        <w:ind w:left="360"/>
        <w:rPr>
          <w:rFonts w:ascii="Arial" w:hAnsi="Arial" w:cs="Arial"/>
          <w:sz w:val="18"/>
          <w:szCs w:val="18"/>
          <w:rtl/>
        </w:rPr>
      </w:pPr>
      <w:r w:rsidRPr="00260675">
        <w:rPr>
          <w:rFonts w:ascii="Arial" w:hAnsi="Arial" w:cs="Arial"/>
          <w:b/>
          <w:bCs/>
          <w:sz w:val="18"/>
          <w:szCs w:val="18"/>
          <w:rtl/>
        </w:rPr>
        <w:t xml:space="preserve">    </w:t>
      </w:r>
      <w:r w:rsidR="00111836" w:rsidRPr="00260675">
        <w:rPr>
          <w:rFonts w:ascii="Arial" w:hAnsi="Arial" w:cs="Arial"/>
          <w:sz w:val="18"/>
          <w:szCs w:val="18"/>
        </w:rPr>
        <w:t xml:space="preserve">WIPO – Trademarks – global survey 2015 - </w:t>
      </w:r>
      <w:hyperlink r:id="rId37" w:history="1">
        <w:r w:rsidR="00111836" w:rsidRPr="00260675">
          <w:rPr>
            <w:rStyle w:val="Hyperlink"/>
            <w:rFonts w:ascii="Arial" w:hAnsi="Arial" w:cs="Arial"/>
            <w:sz w:val="18"/>
            <w:szCs w:val="18"/>
          </w:rPr>
          <w:t>http://bit.ly/1QtgcHa</w:t>
        </w:r>
      </w:hyperlink>
    </w:p>
    <w:p w:rsidR="00934DFA" w:rsidRPr="00260675" w:rsidRDefault="00934DFA" w:rsidP="003663DB">
      <w:pPr>
        <w:spacing w:before="120" w:after="120" w:line="300" w:lineRule="exact"/>
        <w:ind w:left="360"/>
        <w:rPr>
          <w:rFonts w:ascii="Arial" w:hAnsi="Arial" w:cs="Arial"/>
          <w:b/>
          <w:bCs/>
          <w:sz w:val="18"/>
          <w:szCs w:val="18"/>
          <w:rtl/>
        </w:rPr>
      </w:pPr>
    </w:p>
    <w:p w:rsidR="008A436E" w:rsidRPr="00260675" w:rsidRDefault="00DD686B" w:rsidP="003663DB">
      <w:pPr>
        <w:spacing w:before="120" w:after="120" w:line="300" w:lineRule="exact"/>
        <w:ind w:left="226" w:firstLine="26"/>
        <w:rPr>
          <w:rFonts w:ascii="Arial" w:hAnsi="Arial" w:cs="Arial"/>
          <w:sz w:val="18"/>
          <w:szCs w:val="18"/>
        </w:rPr>
      </w:pPr>
      <w:r w:rsidRPr="00260675">
        <w:rPr>
          <w:rFonts w:ascii="Arial" w:hAnsi="Arial" w:cs="Arial"/>
          <w:b/>
          <w:bCs/>
          <w:sz w:val="18"/>
          <w:szCs w:val="18"/>
          <w:rtl/>
        </w:rPr>
        <w:t>חומר מחייב למבחנים:</w:t>
      </w:r>
      <w:r w:rsidRPr="00260675">
        <w:rPr>
          <w:rFonts w:ascii="Arial" w:hAnsi="Arial" w:cs="Arial"/>
          <w:sz w:val="18"/>
          <w:szCs w:val="18"/>
          <w:rtl/>
        </w:rPr>
        <w:t xml:space="preserve"> </w:t>
      </w:r>
      <w:r w:rsidR="00136BEC" w:rsidRPr="00260675">
        <w:rPr>
          <w:rFonts w:ascii="Arial" w:hAnsi="Arial" w:cs="Arial"/>
          <w:sz w:val="18"/>
          <w:szCs w:val="18"/>
          <w:rtl/>
        </w:rPr>
        <w:t xml:space="preserve">החומר שנלמד בכתה. </w:t>
      </w:r>
    </w:p>
    <w:sectPr w:rsidR="008A436E" w:rsidRPr="00260675" w:rsidSect="00DD686B">
      <w:headerReference w:type="default" r:id="rId38"/>
      <w:footerReference w:type="default" r:id="rId3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E10" w:rsidRDefault="00A74E10">
      <w:r>
        <w:separator/>
      </w:r>
    </w:p>
  </w:endnote>
  <w:endnote w:type="continuationSeparator" w:id="0">
    <w:p w:rsidR="00A74E10" w:rsidRDefault="00A7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18" w:rsidRDefault="00777218" w:rsidP="00DD686B">
    <w:pPr>
      <w:pStyle w:val="a6"/>
      <w:jc w:val="right"/>
    </w:pPr>
    <w:r>
      <w:rPr>
        <w:rStyle w:val="a8"/>
      </w:rPr>
      <w:fldChar w:fldCharType="begin"/>
    </w:r>
    <w:r>
      <w:rPr>
        <w:rStyle w:val="a8"/>
      </w:rPr>
      <w:instrText xml:space="preserve"> PAGE </w:instrText>
    </w:r>
    <w:r>
      <w:rPr>
        <w:rStyle w:val="a8"/>
      </w:rPr>
      <w:fldChar w:fldCharType="separate"/>
    </w:r>
    <w:r w:rsidR="008F4601">
      <w:rPr>
        <w:rStyle w:val="a8"/>
        <w:noProof/>
        <w:rtl/>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E10" w:rsidRDefault="00A74E10">
      <w:r>
        <w:separator/>
      </w:r>
    </w:p>
  </w:footnote>
  <w:footnote w:type="continuationSeparator" w:id="0">
    <w:p w:rsidR="00A74E10" w:rsidRDefault="00A74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218" w:rsidRDefault="00777218" w:rsidP="00DD686B">
    <w:pPr>
      <w:pStyle w:val="a4"/>
      <w:jc w:val="center"/>
      <w:rPr>
        <w:color w:val="333333"/>
        <w:rtl/>
      </w:rPr>
    </w:pPr>
  </w:p>
  <w:p w:rsidR="00777218" w:rsidRPr="006F3984" w:rsidRDefault="00777218"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3B2"/>
    <w:multiLevelType w:val="hybridMultilevel"/>
    <w:tmpl w:val="D89EB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47E0"/>
    <w:multiLevelType w:val="hybridMultilevel"/>
    <w:tmpl w:val="4E72CD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49070C"/>
    <w:multiLevelType w:val="hybridMultilevel"/>
    <w:tmpl w:val="F030F1D4"/>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F54CC"/>
    <w:multiLevelType w:val="hybridMultilevel"/>
    <w:tmpl w:val="DF928762"/>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F6C06"/>
    <w:multiLevelType w:val="hybridMultilevel"/>
    <w:tmpl w:val="DE3E70EE"/>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CC7ECA"/>
    <w:multiLevelType w:val="hybridMultilevel"/>
    <w:tmpl w:val="B71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61CCC"/>
    <w:multiLevelType w:val="hybridMultilevel"/>
    <w:tmpl w:val="FECEF37E"/>
    <w:lvl w:ilvl="0" w:tplc="F216CF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F43DD"/>
    <w:multiLevelType w:val="hybridMultilevel"/>
    <w:tmpl w:val="8F88E310"/>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D2B51"/>
    <w:multiLevelType w:val="hybridMultilevel"/>
    <w:tmpl w:val="0F5E0820"/>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C7185"/>
    <w:multiLevelType w:val="hybridMultilevel"/>
    <w:tmpl w:val="6338BDA2"/>
    <w:lvl w:ilvl="0" w:tplc="ACB072BE">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abstractNum w:abstractNumId="10" w15:restartNumberingAfterBreak="0">
    <w:nsid w:val="430E2A6C"/>
    <w:multiLevelType w:val="hybridMultilevel"/>
    <w:tmpl w:val="552A9C24"/>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838C4"/>
    <w:multiLevelType w:val="hybridMultilevel"/>
    <w:tmpl w:val="85547342"/>
    <w:lvl w:ilvl="0" w:tplc="28ACA78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34F398E"/>
    <w:multiLevelType w:val="hybridMultilevel"/>
    <w:tmpl w:val="771CE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B7AF1"/>
    <w:multiLevelType w:val="hybridMultilevel"/>
    <w:tmpl w:val="60200E3E"/>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53AF0"/>
    <w:multiLevelType w:val="hybridMultilevel"/>
    <w:tmpl w:val="A616182A"/>
    <w:lvl w:ilvl="0" w:tplc="84D0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0"/>
  </w:num>
  <w:num w:numId="6">
    <w:abstractNumId w:val="12"/>
  </w:num>
  <w:num w:numId="7">
    <w:abstractNumId w:val="6"/>
  </w:num>
  <w:num w:numId="8">
    <w:abstractNumId w:val="7"/>
  </w:num>
  <w:num w:numId="9">
    <w:abstractNumId w:val="13"/>
  </w:num>
  <w:num w:numId="10">
    <w:abstractNumId w:val="11"/>
  </w:num>
  <w:num w:numId="11">
    <w:abstractNumId w:val="8"/>
  </w:num>
  <w:num w:numId="12">
    <w:abstractNumId w:val="10"/>
  </w:num>
  <w:num w:numId="13">
    <w:abstractNumId w:val="14"/>
  </w:num>
  <w:num w:numId="14">
    <w:abstractNumId w:val="3"/>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6B"/>
    <w:rsid w:val="000223D7"/>
    <w:rsid w:val="00027881"/>
    <w:rsid w:val="00033D1F"/>
    <w:rsid w:val="0006487D"/>
    <w:rsid w:val="00070A82"/>
    <w:rsid w:val="00082CAD"/>
    <w:rsid w:val="00093FC6"/>
    <w:rsid w:val="000B26B8"/>
    <w:rsid w:val="000B2F90"/>
    <w:rsid w:val="000C24D7"/>
    <w:rsid w:val="000C6A16"/>
    <w:rsid w:val="00111836"/>
    <w:rsid w:val="00122715"/>
    <w:rsid w:val="00123F73"/>
    <w:rsid w:val="00136BEC"/>
    <w:rsid w:val="00146DE4"/>
    <w:rsid w:val="00151782"/>
    <w:rsid w:val="00181271"/>
    <w:rsid w:val="00182802"/>
    <w:rsid w:val="001878DC"/>
    <w:rsid w:val="001939F8"/>
    <w:rsid w:val="00197C87"/>
    <w:rsid w:val="001A04E9"/>
    <w:rsid w:val="001B41ED"/>
    <w:rsid w:val="001D7E9E"/>
    <w:rsid w:val="001E009A"/>
    <w:rsid w:val="001E1DB6"/>
    <w:rsid w:val="001F4E45"/>
    <w:rsid w:val="00205067"/>
    <w:rsid w:val="002102CF"/>
    <w:rsid w:val="002307CC"/>
    <w:rsid w:val="002337B3"/>
    <w:rsid w:val="00260675"/>
    <w:rsid w:val="00271BBC"/>
    <w:rsid w:val="002A1569"/>
    <w:rsid w:val="002A3074"/>
    <w:rsid w:val="002C2943"/>
    <w:rsid w:val="002C3415"/>
    <w:rsid w:val="002E026B"/>
    <w:rsid w:val="002E1F74"/>
    <w:rsid w:val="002F6D62"/>
    <w:rsid w:val="00304756"/>
    <w:rsid w:val="00322AE9"/>
    <w:rsid w:val="00323F70"/>
    <w:rsid w:val="003269AC"/>
    <w:rsid w:val="00332899"/>
    <w:rsid w:val="00347951"/>
    <w:rsid w:val="00352BD1"/>
    <w:rsid w:val="00354D18"/>
    <w:rsid w:val="003663DB"/>
    <w:rsid w:val="00367708"/>
    <w:rsid w:val="00382BCD"/>
    <w:rsid w:val="00390F95"/>
    <w:rsid w:val="003A40A8"/>
    <w:rsid w:val="003E6FC5"/>
    <w:rsid w:val="003F5A95"/>
    <w:rsid w:val="00410117"/>
    <w:rsid w:val="00421576"/>
    <w:rsid w:val="00422580"/>
    <w:rsid w:val="00425A06"/>
    <w:rsid w:val="00427ED2"/>
    <w:rsid w:val="00431BE8"/>
    <w:rsid w:val="004373A7"/>
    <w:rsid w:val="004539F5"/>
    <w:rsid w:val="004749B0"/>
    <w:rsid w:val="00476975"/>
    <w:rsid w:val="00484B93"/>
    <w:rsid w:val="004953A0"/>
    <w:rsid w:val="004A0F46"/>
    <w:rsid w:val="004A107D"/>
    <w:rsid w:val="004A2742"/>
    <w:rsid w:val="004C0C3F"/>
    <w:rsid w:val="004C1D12"/>
    <w:rsid w:val="004C266A"/>
    <w:rsid w:val="004C5515"/>
    <w:rsid w:val="004D6C5E"/>
    <w:rsid w:val="004E46A0"/>
    <w:rsid w:val="004F37BA"/>
    <w:rsid w:val="00505345"/>
    <w:rsid w:val="00507AFD"/>
    <w:rsid w:val="00536471"/>
    <w:rsid w:val="00540490"/>
    <w:rsid w:val="00542B3D"/>
    <w:rsid w:val="005531F5"/>
    <w:rsid w:val="005569F1"/>
    <w:rsid w:val="00561AC5"/>
    <w:rsid w:val="00563F27"/>
    <w:rsid w:val="0056603E"/>
    <w:rsid w:val="005750D4"/>
    <w:rsid w:val="005817E8"/>
    <w:rsid w:val="00590E92"/>
    <w:rsid w:val="005A7AFC"/>
    <w:rsid w:val="005B3CA2"/>
    <w:rsid w:val="005C11F9"/>
    <w:rsid w:val="005D1470"/>
    <w:rsid w:val="005E1373"/>
    <w:rsid w:val="005F7E61"/>
    <w:rsid w:val="006068ED"/>
    <w:rsid w:val="00610B42"/>
    <w:rsid w:val="00611C6A"/>
    <w:rsid w:val="0061202C"/>
    <w:rsid w:val="006158C7"/>
    <w:rsid w:val="00616B41"/>
    <w:rsid w:val="00637B1C"/>
    <w:rsid w:val="00645BC5"/>
    <w:rsid w:val="00653DDF"/>
    <w:rsid w:val="00654230"/>
    <w:rsid w:val="00657033"/>
    <w:rsid w:val="0066004A"/>
    <w:rsid w:val="00666C81"/>
    <w:rsid w:val="00670D04"/>
    <w:rsid w:val="006741E1"/>
    <w:rsid w:val="0069345E"/>
    <w:rsid w:val="006C695B"/>
    <w:rsid w:val="006D0821"/>
    <w:rsid w:val="006F3984"/>
    <w:rsid w:val="0070271F"/>
    <w:rsid w:val="00703DBD"/>
    <w:rsid w:val="00717B12"/>
    <w:rsid w:val="00720048"/>
    <w:rsid w:val="00721EC7"/>
    <w:rsid w:val="00722A06"/>
    <w:rsid w:val="007242E6"/>
    <w:rsid w:val="00730EC2"/>
    <w:rsid w:val="0073483E"/>
    <w:rsid w:val="00744219"/>
    <w:rsid w:val="007704EE"/>
    <w:rsid w:val="00777218"/>
    <w:rsid w:val="007A0B4D"/>
    <w:rsid w:val="007A63CE"/>
    <w:rsid w:val="007B24F6"/>
    <w:rsid w:val="007B3DE0"/>
    <w:rsid w:val="007F3790"/>
    <w:rsid w:val="007F3B93"/>
    <w:rsid w:val="007F5890"/>
    <w:rsid w:val="00800CFD"/>
    <w:rsid w:val="00826ACA"/>
    <w:rsid w:val="00830646"/>
    <w:rsid w:val="0083178C"/>
    <w:rsid w:val="00837A44"/>
    <w:rsid w:val="00855F71"/>
    <w:rsid w:val="00857973"/>
    <w:rsid w:val="008662C4"/>
    <w:rsid w:val="008A42B1"/>
    <w:rsid w:val="008A436E"/>
    <w:rsid w:val="008B5621"/>
    <w:rsid w:val="008B5A4E"/>
    <w:rsid w:val="008E696B"/>
    <w:rsid w:val="008E6A90"/>
    <w:rsid w:val="008E7958"/>
    <w:rsid w:val="008F07C9"/>
    <w:rsid w:val="008F3571"/>
    <w:rsid w:val="008F4601"/>
    <w:rsid w:val="00900146"/>
    <w:rsid w:val="00904991"/>
    <w:rsid w:val="00934DFA"/>
    <w:rsid w:val="00937D26"/>
    <w:rsid w:val="00950EE6"/>
    <w:rsid w:val="00956A80"/>
    <w:rsid w:val="00960575"/>
    <w:rsid w:val="00967AAE"/>
    <w:rsid w:val="00972DD2"/>
    <w:rsid w:val="009900D5"/>
    <w:rsid w:val="00994983"/>
    <w:rsid w:val="009A1CFC"/>
    <w:rsid w:val="009C519B"/>
    <w:rsid w:val="009E089B"/>
    <w:rsid w:val="009E09C1"/>
    <w:rsid w:val="009E732A"/>
    <w:rsid w:val="009F5CEC"/>
    <w:rsid w:val="00A37923"/>
    <w:rsid w:val="00A446F9"/>
    <w:rsid w:val="00A46C21"/>
    <w:rsid w:val="00A55D77"/>
    <w:rsid w:val="00A703A4"/>
    <w:rsid w:val="00A74E10"/>
    <w:rsid w:val="00AA43E5"/>
    <w:rsid w:val="00AA5A0B"/>
    <w:rsid w:val="00AB42A5"/>
    <w:rsid w:val="00AB659B"/>
    <w:rsid w:val="00AC5179"/>
    <w:rsid w:val="00AD0E0C"/>
    <w:rsid w:val="00AF7667"/>
    <w:rsid w:val="00B01578"/>
    <w:rsid w:val="00B04D0B"/>
    <w:rsid w:val="00B25F24"/>
    <w:rsid w:val="00B27E17"/>
    <w:rsid w:val="00B65A43"/>
    <w:rsid w:val="00B67B1D"/>
    <w:rsid w:val="00B827D4"/>
    <w:rsid w:val="00B87B80"/>
    <w:rsid w:val="00B94D12"/>
    <w:rsid w:val="00BD34B6"/>
    <w:rsid w:val="00BD39CF"/>
    <w:rsid w:val="00BE44B1"/>
    <w:rsid w:val="00BE6E4E"/>
    <w:rsid w:val="00C01FCF"/>
    <w:rsid w:val="00C1700D"/>
    <w:rsid w:val="00C253FE"/>
    <w:rsid w:val="00C36F5C"/>
    <w:rsid w:val="00C40B9C"/>
    <w:rsid w:val="00C50842"/>
    <w:rsid w:val="00C53622"/>
    <w:rsid w:val="00C6111A"/>
    <w:rsid w:val="00C65131"/>
    <w:rsid w:val="00C769A7"/>
    <w:rsid w:val="00C77337"/>
    <w:rsid w:val="00C82132"/>
    <w:rsid w:val="00CA5C69"/>
    <w:rsid w:val="00CA63BA"/>
    <w:rsid w:val="00CB0752"/>
    <w:rsid w:val="00CB4667"/>
    <w:rsid w:val="00CD5480"/>
    <w:rsid w:val="00CD766D"/>
    <w:rsid w:val="00D00461"/>
    <w:rsid w:val="00D01A07"/>
    <w:rsid w:val="00D6292C"/>
    <w:rsid w:val="00D62FDE"/>
    <w:rsid w:val="00D70E31"/>
    <w:rsid w:val="00DA095F"/>
    <w:rsid w:val="00DA32D2"/>
    <w:rsid w:val="00DB01B7"/>
    <w:rsid w:val="00DB3F75"/>
    <w:rsid w:val="00DC166C"/>
    <w:rsid w:val="00DD686B"/>
    <w:rsid w:val="00E01AEF"/>
    <w:rsid w:val="00E12CE1"/>
    <w:rsid w:val="00E1332E"/>
    <w:rsid w:val="00E16CD1"/>
    <w:rsid w:val="00E21501"/>
    <w:rsid w:val="00E26E49"/>
    <w:rsid w:val="00E37AC5"/>
    <w:rsid w:val="00E5094B"/>
    <w:rsid w:val="00E75758"/>
    <w:rsid w:val="00E81D90"/>
    <w:rsid w:val="00E95E79"/>
    <w:rsid w:val="00EA055B"/>
    <w:rsid w:val="00EA13FE"/>
    <w:rsid w:val="00EB028B"/>
    <w:rsid w:val="00EB2A5C"/>
    <w:rsid w:val="00EB3FA4"/>
    <w:rsid w:val="00EB7DFA"/>
    <w:rsid w:val="00EC009D"/>
    <w:rsid w:val="00EE5DD2"/>
    <w:rsid w:val="00EE7E68"/>
    <w:rsid w:val="00EF0F21"/>
    <w:rsid w:val="00F1164B"/>
    <w:rsid w:val="00F11BC6"/>
    <w:rsid w:val="00F14F87"/>
    <w:rsid w:val="00F151C2"/>
    <w:rsid w:val="00F36AA8"/>
    <w:rsid w:val="00F61594"/>
    <w:rsid w:val="00F65D31"/>
    <w:rsid w:val="00F81407"/>
    <w:rsid w:val="00F91D74"/>
    <w:rsid w:val="00F924BE"/>
    <w:rsid w:val="00F95A5E"/>
    <w:rsid w:val="00F974D1"/>
    <w:rsid w:val="00FE2D08"/>
    <w:rsid w:val="00FE6B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6A1158-733B-46A1-83D8-9089631E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spacing w:after="0" w:line="240" w:lineRule="auto"/>
    </w:pPr>
    <w:rPr>
      <w:sz w:val="24"/>
      <w:szCs w:val="24"/>
    </w:rPr>
  </w:style>
  <w:style w:type="paragraph" w:styleId="1">
    <w:name w:val="heading 1"/>
    <w:basedOn w:val="a"/>
    <w:next w:val="a"/>
    <w:link w:val="10"/>
    <w:uiPriority w:val="9"/>
    <w:qFormat/>
    <w:rsid w:val="00E37AC5"/>
    <w:pPr>
      <w:keepNext/>
      <w:outlineLvl w:val="0"/>
    </w:pPr>
    <w:rPr>
      <w:rFonts w:cs="David"/>
      <w:noProof/>
      <w:sz w:val="20"/>
      <w:szCs w:val="28"/>
      <w:lang w:eastAsia="he-IL"/>
    </w:rPr>
  </w:style>
  <w:style w:type="paragraph" w:styleId="2">
    <w:name w:val="heading 2"/>
    <w:basedOn w:val="a"/>
    <w:next w:val="a"/>
    <w:link w:val="20"/>
    <w:uiPriority w:val="9"/>
    <w:semiHidden/>
    <w:unhideWhenUsed/>
    <w:qFormat/>
    <w:rsid w:val="0065423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sid w:val="00E37AC5"/>
    <w:rPr>
      <w:rFonts w:cs="David"/>
      <w:noProof/>
      <w:sz w:val="28"/>
      <w:szCs w:val="28"/>
      <w:lang w:eastAsia="he-IL" w:bidi="he-IL"/>
    </w:rPr>
  </w:style>
  <w:style w:type="character" w:customStyle="1" w:styleId="20">
    <w:name w:val="כותרת 2 תו"/>
    <w:basedOn w:val="a0"/>
    <w:link w:val="2"/>
    <w:uiPriority w:val="9"/>
    <w:semiHidden/>
    <w:locked/>
    <w:rsid w:val="00654230"/>
    <w:rPr>
      <w:rFonts w:asciiTheme="majorHAnsi" w:eastAsiaTheme="majorEastAsia" w:hAnsiTheme="majorHAnsi" w:cs="Times New Roman"/>
      <w:b/>
      <w:bCs/>
      <w:i/>
      <w:iCs/>
      <w:sz w:val="28"/>
      <w:szCs w:val="28"/>
    </w:rPr>
  </w:style>
  <w:style w:type="table" w:styleId="a3">
    <w:name w:val="Table Grid"/>
    <w:basedOn w:val="a1"/>
    <w:uiPriority w:val="99"/>
    <w:rsid w:val="00DD686B"/>
    <w:pPr>
      <w:bidi/>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basedOn w:val="a0"/>
    <w:link w:val="a4"/>
    <w:uiPriority w:val="99"/>
    <w:semiHidden/>
    <w:locked/>
    <w:rPr>
      <w:rFonts w:cs="Times New Roman"/>
      <w:sz w:val="24"/>
      <w:szCs w:val="24"/>
    </w:rPr>
  </w:style>
  <w:style w:type="paragraph" w:styleId="a6">
    <w:name w:val="footer"/>
    <w:basedOn w:val="a"/>
    <w:link w:val="a7"/>
    <w:uiPriority w:val="99"/>
    <w:rsid w:val="00DD686B"/>
    <w:pPr>
      <w:tabs>
        <w:tab w:val="center" w:pos="4153"/>
        <w:tab w:val="right" w:pos="8306"/>
      </w:tabs>
    </w:pPr>
  </w:style>
  <w:style w:type="character" w:customStyle="1" w:styleId="a7">
    <w:name w:val="כותרת תחתונה תו"/>
    <w:basedOn w:val="a0"/>
    <w:link w:val="a6"/>
    <w:uiPriority w:val="99"/>
    <w:semiHidden/>
    <w:locked/>
    <w:rPr>
      <w:rFonts w:cs="Times New Roman"/>
      <w:sz w:val="24"/>
      <w:szCs w:val="24"/>
    </w:rPr>
  </w:style>
  <w:style w:type="character" w:styleId="a8">
    <w:name w:val="page number"/>
    <w:basedOn w:val="a0"/>
    <w:uiPriority w:val="99"/>
    <w:rsid w:val="00DD686B"/>
    <w:rPr>
      <w:rFonts w:cs="Times New Roman"/>
    </w:rPr>
  </w:style>
  <w:style w:type="paragraph" w:styleId="a9">
    <w:name w:val="List Paragraph"/>
    <w:basedOn w:val="a"/>
    <w:uiPriority w:val="34"/>
    <w:qFormat/>
    <w:rsid w:val="00E37AC5"/>
    <w:pPr>
      <w:bidi w:val="0"/>
      <w:ind w:left="720"/>
      <w:contextualSpacing/>
    </w:pPr>
  </w:style>
  <w:style w:type="character" w:styleId="Hyperlink">
    <w:name w:val="Hyperlink"/>
    <w:basedOn w:val="a0"/>
    <w:uiPriority w:val="99"/>
    <w:rsid w:val="00EA13FE"/>
    <w:rPr>
      <w:rFonts w:cs="Times New Roman"/>
      <w:color w:val="0563C1"/>
      <w:u w:val="single"/>
    </w:rPr>
  </w:style>
  <w:style w:type="character" w:customStyle="1" w:styleId="lede-headlinehighlighted">
    <w:name w:val="lede-headline__highlighted"/>
    <w:rsid w:val="000C24D7"/>
  </w:style>
  <w:style w:type="character" w:styleId="FollowedHyperlink">
    <w:name w:val="FollowedHyperlink"/>
    <w:basedOn w:val="a0"/>
    <w:uiPriority w:val="99"/>
    <w:rsid w:val="000C24D7"/>
    <w:rPr>
      <w:color w:val="800080" w:themeColor="followedHyperlink"/>
      <w:u w:val="single"/>
    </w:rPr>
  </w:style>
  <w:style w:type="paragraph" w:styleId="NormalWeb">
    <w:name w:val="Normal (Web)"/>
    <w:basedOn w:val="a"/>
    <w:uiPriority w:val="99"/>
    <w:unhideWhenUsed/>
    <w:rsid w:val="00777218"/>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1181">
      <w:bodyDiv w:val="1"/>
      <w:marLeft w:val="0"/>
      <w:marRight w:val="0"/>
      <w:marTop w:val="0"/>
      <w:marBottom w:val="0"/>
      <w:divBdr>
        <w:top w:val="none" w:sz="0" w:space="0" w:color="auto"/>
        <w:left w:val="none" w:sz="0" w:space="0" w:color="auto"/>
        <w:bottom w:val="none" w:sz="0" w:space="0" w:color="auto"/>
        <w:right w:val="none" w:sz="0" w:space="0" w:color="auto"/>
      </w:divBdr>
    </w:div>
    <w:div w:id="335496730">
      <w:bodyDiv w:val="1"/>
      <w:marLeft w:val="0"/>
      <w:marRight w:val="0"/>
      <w:marTop w:val="0"/>
      <w:marBottom w:val="0"/>
      <w:divBdr>
        <w:top w:val="none" w:sz="0" w:space="0" w:color="auto"/>
        <w:left w:val="none" w:sz="0" w:space="0" w:color="auto"/>
        <w:bottom w:val="none" w:sz="0" w:space="0" w:color="auto"/>
        <w:right w:val="none" w:sz="0" w:space="0" w:color="auto"/>
      </w:divBdr>
    </w:div>
    <w:div w:id="402993724">
      <w:marLeft w:val="0"/>
      <w:marRight w:val="0"/>
      <w:marTop w:val="0"/>
      <w:marBottom w:val="0"/>
      <w:divBdr>
        <w:top w:val="none" w:sz="0" w:space="0" w:color="auto"/>
        <w:left w:val="none" w:sz="0" w:space="0" w:color="auto"/>
        <w:bottom w:val="none" w:sz="0" w:space="0" w:color="auto"/>
        <w:right w:val="none" w:sz="0" w:space="0" w:color="auto"/>
      </w:divBdr>
    </w:div>
    <w:div w:id="402993725">
      <w:marLeft w:val="0"/>
      <w:marRight w:val="0"/>
      <w:marTop w:val="0"/>
      <w:marBottom w:val="0"/>
      <w:divBdr>
        <w:top w:val="none" w:sz="0" w:space="0" w:color="auto"/>
        <w:left w:val="none" w:sz="0" w:space="0" w:color="auto"/>
        <w:bottom w:val="none" w:sz="0" w:space="0" w:color="auto"/>
        <w:right w:val="none" w:sz="0" w:space="0" w:color="auto"/>
      </w:divBdr>
    </w:div>
    <w:div w:id="1410539252">
      <w:bodyDiv w:val="1"/>
      <w:marLeft w:val="0"/>
      <w:marRight w:val="0"/>
      <w:marTop w:val="0"/>
      <w:marBottom w:val="0"/>
      <w:divBdr>
        <w:top w:val="none" w:sz="0" w:space="0" w:color="auto"/>
        <w:left w:val="none" w:sz="0" w:space="0" w:color="auto"/>
        <w:bottom w:val="none" w:sz="0" w:space="0" w:color="auto"/>
        <w:right w:val="none" w:sz="0" w:space="0" w:color="auto"/>
      </w:divBdr>
    </w:div>
    <w:div w:id="1597252087">
      <w:bodyDiv w:val="1"/>
      <w:marLeft w:val="0"/>
      <w:marRight w:val="0"/>
      <w:marTop w:val="0"/>
      <w:marBottom w:val="0"/>
      <w:divBdr>
        <w:top w:val="none" w:sz="0" w:space="0" w:color="auto"/>
        <w:left w:val="none" w:sz="0" w:space="0" w:color="auto"/>
        <w:bottom w:val="none" w:sz="0" w:space="0" w:color="auto"/>
        <w:right w:val="none" w:sz="0" w:space="0" w:color="auto"/>
      </w:divBdr>
    </w:div>
    <w:div w:id="20025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marker.com/law/1.2692582" TargetMode="External"/><Relationship Id="rId18" Type="http://schemas.openxmlformats.org/officeDocument/2006/relationships/hyperlink" Target="https://opensource.org/licenses" TargetMode="External"/><Relationship Id="rId26" Type="http://schemas.openxmlformats.org/officeDocument/2006/relationships/hyperlink" Target="http://papers.ssrn.com/sol3/papers.cfm?abstract_id=2149364"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ec.europa.eu/justice/data-protection/article-29/documentation/opinion-recommendation/files/2012/wp196_en.pdf" TargetMode="External"/><Relationship Id="rId34" Type="http://schemas.openxmlformats.org/officeDocument/2006/relationships/hyperlink" Target="http://weblaw.haifa.ac.il/he/Faculty/Zarsky/Publications/hasdara.pdf" TargetMode="External"/><Relationship Id="rId7" Type="http://schemas.openxmlformats.org/officeDocument/2006/relationships/endnotes" Target="endnotes.xml"/><Relationship Id="rId12" Type="http://schemas.openxmlformats.org/officeDocument/2006/relationships/hyperlink" Target="http://www.the7eye.org.il/67633" TargetMode="External"/><Relationship Id="rId17" Type="http://schemas.openxmlformats.org/officeDocument/2006/relationships/hyperlink" Target="http://www.fsf.org/about" TargetMode="External"/><Relationship Id="rId25" Type="http://schemas.openxmlformats.org/officeDocument/2006/relationships/hyperlink" Target="http://hamishpat.colman.ac.il/files/03_2013/tene.pdf" TargetMode="External"/><Relationship Id="rId33" Type="http://schemas.openxmlformats.org/officeDocument/2006/relationships/hyperlink" Target="http://www.justice.gov.il/Units/ilita/MainDocs/shlav2.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reativecommons.org/licenses/" TargetMode="External"/><Relationship Id="rId20" Type="http://schemas.openxmlformats.org/officeDocument/2006/relationships/hyperlink" Target="https://www.pwc.com/us/en/forensic-services/publications/assets/2015-pwc-patent-litigation-study.pdf" TargetMode="External"/><Relationship Id="rId29" Type="http://schemas.openxmlformats.org/officeDocument/2006/relationships/hyperlink" Target="http://www.networkworld.com/article/2885757/microsoft-subnet/how-long-will-it-take-for-internet-of-things-hello-barbie-to-be-hacked.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1Tt7Qyj" TargetMode="External"/><Relationship Id="rId24" Type="http://schemas.openxmlformats.org/officeDocument/2006/relationships/hyperlink" Target="http://elyon1.court.gov.il/files/07/470/044/p10/07044470.p10.htm" TargetMode="External"/><Relationship Id="rId32" Type="http://schemas.openxmlformats.org/officeDocument/2006/relationships/hyperlink" Target="http://www.calcalist.co.il/local/articles/0,7340,L-3608895,00.html" TargetMode="External"/><Relationship Id="rId37" Type="http://schemas.openxmlformats.org/officeDocument/2006/relationships/hyperlink" Target="http://bit.ly/1QtgcHa"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cafee.com/us/resources/legal/end-user-license-agreements-en-us.pdf" TargetMode="External"/><Relationship Id="rId23" Type="http://schemas.openxmlformats.org/officeDocument/2006/relationships/hyperlink" Target="http://bit.ly/216osBT" TargetMode="External"/><Relationship Id="rId28" Type="http://schemas.openxmlformats.org/officeDocument/2006/relationships/hyperlink" Target="http://time.com/3928086/these-5-facts-explain-the-threat-of-cyber-warfare/" TargetMode="External"/><Relationship Id="rId36" Type="http://schemas.openxmlformats.org/officeDocument/2006/relationships/hyperlink" Target="http://en.isoc.org.il/domains/ildrp.html" TargetMode="External"/><Relationship Id="rId10" Type="http://schemas.openxmlformats.org/officeDocument/2006/relationships/hyperlink" Target="http://bit.ly/1QS7hsQ" TargetMode="External"/><Relationship Id="rId19" Type="http://schemas.openxmlformats.org/officeDocument/2006/relationships/hyperlink" Target="https://www.techopedia.com/definition/4333/proprietary-software" TargetMode="External"/><Relationship Id="rId31" Type="http://schemas.openxmlformats.org/officeDocument/2006/relationships/hyperlink" Target="http://www.ynet.co.il/articles/0,7340,L-3284833,00.html" TargetMode="External"/><Relationship Id="rId4" Type="http://schemas.openxmlformats.org/officeDocument/2006/relationships/settings" Target="settings.xml"/><Relationship Id="rId9" Type="http://schemas.openxmlformats.org/officeDocument/2006/relationships/hyperlink" Target="http://www.forbes.com/pictures/hedk45ifd/10-internet-of-things-a/" TargetMode="External"/><Relationship Id="rId14" Type="http://schemas.openxmlformats.org/officeDocument/2006/relationships/hyperlink" Target="http://www.bloomberg.com/news/articles/2010-11-23/sap-must-pay-oracle-1-3-billion-over-unit-s-downloads" TargetMode="External"/><Relationship Id="rId22" Type="http://schemas.openxmlformats.org/officeDocument/2006/relationships/hyperlink" Target="http://bit.ly/1Q8ZCdw" TargetMode="External"/><Relationship Id="rId27" Type="http://schemas.openxmlformats.org/officeDocument/2006/relationships/hyperlink" Target="http://www.huffingtonpost.com/entry/biggest-worst-data-breaches-hacks_us_55d4b5a5e4b07addcb44fd9e" TargetMode="External"/><Relationship Id="rId30" Type="http://schemas.openxmlformats.org/officeDocument/2006/relationships/hyperlink" Target="http://bit.ly/1smejQi" TargetMode="External"/><Relationship Id="rId35" Type="http://schemas.openxmlformats.org/officeDocument/2006/relationships/hyperlink" Target="http://law.huji.ac.il/upload/kalhora.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4CAEB-6D53-4833-BC35-8A8408E9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861</Words>
  <Characters>8261</Characters>
  <Application>Microsoft Office Word</Application>
  <DocSecurity>0</DocSecurity>
  <Lines>68</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dc:description/>
  <cp:lastModifiedBy>liat krulitzky</cp:lastModifiedBy>
  <cp:revision>2</cp:revision>
  <dcterms:created xsi:type="dcterms:W3CDTF">2016-03-17T05:44:00Z</dcterms:created>
  <dcterms:modified xsi:type="dcterms:W3CDTF">2016-03-17T05:44:00Z</dcterms:modified>
</cp:coreProperties>
</file>