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FE" w:rsidRDefault="00F510FE" w:rsidP="00E619CE">
      <w:pPr>
        <w:jc w:val="right"/>
        <w:rPr>
          <w:rFonts w:ascii="Arial" w:hAnsi="Arial" w:cs="Tahoma"/>
          <w:bCs/>
          <w:sz w:val="36"/>
          <w:szCs w:val="36"/>
          <w:rtl/>
        </w:rPr>
      </w:pPr>
      <w:bookmarkStart w:id="0" w:name="_GoBack"/>
      <w:bookmarkEnd w:id="0"/>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201</w:t>
      </w:r>
      <w:r w:rsidR="00E619CE">
        <w:rPr>
          <w:rFonts w:ascii="Arial" w:hAnsi="Arial" w:cs="Tahoma" w:hint="cs"/>
          <w:bCs/>
          <w:rtl/>
        </w:rPr>
        <w:t>9</w:t>
      </w:r>
      <w:r>
        <w:rPr>
          <w:rFonts w:ascii="Arial" w:hAnsi="Arial" w:cs="Tahoma" w:hint="cs"/>
          <w:bCs/>
          <w:rtl/>
        </w:rPr>
        <w:t xml:space="preserve"> </w:t>
      </w:r>
      <w:r>
        <w:rPr>
          <w:rFonts w:ascii="Arial" w:hAnsi="Arial" w:cs="Tahoma"/>
          <w:bCs/>
          <w:rtl/>
        </w:rPr>
        <w:t>–</w:t>
      </w:r>
      <w:r>
        <w:rPr>
          <w:rFonts w:ascii="Arial" w:hAnsi="Arial" w:cs="Tahoma" w:hint="cs"/>
          <w:bCs/>
          <w:rtl/>
        </w:rPr>
        <w:t xml:space="preserve"> תשע"</w:t>
      </w:r>
      <w:r w:rsidR="00E619CE">
        <w:rPr>
          <w:rFonts w:ascii="Arial" w:hAnsi="Arial" w:cs="Tahoma" w:hint="cs"/>
          <w:bCs/>
          <w:rtl/>
        </w:rPr>
        <w:t>ט</w:t>
      </w:r>
    </w:p>
    <w:p w:rsidR="00E07A6D" w:rsidRDefault="00CB1F05" w:rsidP="00F510FE">
      <w:pPr>
        <w:jc w:val="center"/>
        <w:rPr>
          <w:rFonts w:ascii="Arial" w:hAnsi="Arial" w:cs="Tahoma"/>
          <w:bCs/>
          <w:sz w:val="36"/>
          <w:szCs w:val="36"/>
          <w:rtl/>
          <w:lang w:eastAsia="en-US"/>
        </w:rPr>
      </w:pPr>
      <w:r w:rsidRPr="00F510FE">
        <w:rPr>
          <w:rFonts w:ascii="Arial" w:hAnsi="Arial" w:cs="Tahoma" w:hint="cs"/>
          <w:bCs/>
          <w:sz w:val="36"/>
          <w:szCs w:val="36"/>
          <w:rtl/>
          <w:lang w:eastAsia="en-US"/>
        </w:rPr>
        <w:t>היבטים כספיים בניהול</w:t>
      </w:r>
    </w:p>
    <w:p w:rsidR="00F510FE" w:rsidRPr="00F510FE" w:rsidRDefault="00F510FE" w:rsidP="00F510FE">
      <w:pPr>
        <w:jc w:val="center"/>
        <w:rPr>
          <w:rFonts w:ascii="Arial" w:hAnsi="Arial" w:cs="Tahoma"/>
          <w:bCs/>
          <w:sz w:val="36"/>
          <w:szCs w:val="36"/>
          <w:rtl/>
          <w:lang w:eastAsia="en-US"/>
        </w:rPr>
      </w:pPr>
    </w:p>
    <w:p w:rsidR="00CB1F05" w:rsidRPr="00F510FE" w:rsidRDefault="00CB1F05" w:rsidP="00F510FE">
      <w:pPr>
        <w:jc w:val="center"/>
        <w:rPr>
          <w:rFonts w:ascii="Arial" w:hAnsi="Arial" w:cs="Tahoma"/>
          <w:bCs/>
          <w:sz w:val="36"/>
          <w:szCs w:val="36"/>
          <w:rtl/>
          <w:lang w:eastAsia="en-US"/>
        </w:rPr>
      </w:pPr>
      <w:r w:rsidRPr="00F510FE">
        <w:rPr>
          <w:rFonts w:ascii="Arial" w:hAnsi="Arial" w:cs="Tahoma" w:hint="cs"/>
          <w:bCs/>
          <w:sz w:val="36"/>
          <w:szCs w:val="36"/>
          <w:rtl/>
          <w:lang w:eastAsia="en-US"/>
        </w:rPr>
        <w:t>פרופ' יוסי מעלם</w:t>
      </w:r>
    </w:p>
    <w:p w:rsidR="00F510FE" w:rsidRDefault="00F510FE" w:rsidP="00E619CE">
      <w:pPr>
        <w:rPr>
          <w:rFonts w:ascii="Arial" w:hAnsi="Arial" w:cs="Arial"/>
          <w:b/>
          <w:bCs/>
          <w:sz w:val="24"/>
          <w:szCs w:val="24"/>
          <w:rtl/>
          <w:lang w:eastAsia="en-US"/>
        </w:rPr>
      </w:pPr>
      <w:r w:rsidRPr="00F510FE">
        <w:rPr>
          <w:rFonts w:ascii="Arial" w:hAnsi="Arial" w:cs="Arial"/>
          <w:b/>
          <w:bCs/>
          <w:sz w:val="24"/>
          <w:szCs w:val="24"/>
          <w:rtl/>
          <w:lang w:eastAsia="en-US"/>
        </w:rPr>
        <w:t xml:space="preserve">שנת לימודים: </w:t>
      </w:r>
      <w:r w:rsidRPr="00F510FE">
        <w:rPr>
          <w:rFonts w:ascii="Arial" w:hAnsi="Arial" w:cs="Arial" w:hint="cs"/>
          <w:b/>
          <w:bCs/>
          <w:sz w:val="24"/>
          <w:szCs w:val="24"/>
          <w:rtl/>
          <w:lang w:eastAsia="en-US"/>
        </w:rPr>
        <w:t>תשע"</w:t>
      </w:r>
      <w:r w:rsidR="00E619CE">
        <w:rPr>
          <w:rFonts w:ascii="Arial" w:hAnsi="Arial" w:cs="Arial" w:hint="cs"/>
          <w:b/>
          <w:bCs/>
          <w:sz w:val="24"/>
          <w:szCs w:val="24"/>
          <w:rtl/>
          <w:lang w:eastAsia="en-US"/>
        </w:rPr>
        <w:t>ט</w:t>
      </w:r>
      <w:r w:rsidRPr="00F510FE">
        <w:rPr>
          <w:rFonts w:ascii="Arial" w:hAnsi="Arial" w:cs="Arial"/>
          <w:b/>
          <w:bCs/>
          <w:sz w:val="24"/>
          <w:szCs w:val="24"/>
          <w:rtl/>
          <w:lang w:eastAsia="en-US"/>
        </w:rPr>
        <w:t xml:space="preserve">                   סמסטר:</w:t>
      </w:r>
      <w:r w:rsidR="00E619CE">
        <w:rPr>
          <w:rFonts w:ascii="Arial" w:hAnsi="Arial" w:cs="Arial" w:hint="cs"/>
          <w:b/>
          <w:bCs/>
          <w:sz w:val="24"/>
          <w:szCs w:val="24"/>
          <w:rtl/>
          <w:lang w:eastAsia="en-US"/>
        </w:rPr>
        <w:t xml:space="preserve"> שני</w:t>
      </w:r>
      <w:r w:rsidRPr="00F510FE">
        <w:rPr>
          <w:rFonts w:ascii="Arial" w:hAnsi="Arial" w:cs="Arial" w:hint="cs"/>
          <w:b/>
          <w:bCs/>
          <w:sz w:val="24"/>
          <w:szCs w:val="24"/>
          <w:rtl/>
          <w:lang w:eastAsia="en-US"/>
        </w:rPr>
        <w:tab/>
      </w:r>
      <w:r w:rsidRPr="00F510FE">
        <w:rPr>
          <w:rFonts w:ascii="Arial" w:hAnsi="Arial" w:cs="Arial"/>
          <w:b/>
          <w:bCs/>
          <w:sz w:val="24"/>
          <w:szCs w:val="24"/>
          <w:rtl/>
          <w:lang w:eastAsia="en-US"/>
        </w:rPr>
        <w:t xml:space="preserve">        היקף שעות:  </w:t>
      </w:r>
      <w:r w:rsidRPr="00F510FE">
        <w:rPr>
          <w:rFonts w:ascii="Arial" w:hAnsi="Arial" w:cs="Arial" w:hint="cs"/>
          <w:b/>
          <w:bCs/>
          <w:sz w:val="24"/>
          <w:szCs w:val="24"/>
          <w:rtl/>
          <w:lang w:eastAsia="en-US"/>
        </w:rPr>
        <w:t>2 ש"ש</w:t>
      </w:r>
    </w:p>
    <w:p w:rsidR="00F510FE" w:rsidRPr="00F510FE" w:rsidRDefault="00F510FE" w:rsidP="00F510FE">
      <w:pPr>
        <w:rPr>
          <w:rFonts w:ascii="Arial" w:hAnsi="Arial" w:cs="Arial"/>
          <w:b/>
          <w:bCs/>
          <w:sz w:val="24"/>
          <w:szCs w:val="24"/>
          <w:rtl/>
          <w:lang w:eastAsia="en-US"/>
        </w:rPr>
      </w:pPr>
    </w:p>
    <w:p w:rsidR="00E07A6D" w:rsidRPr="00F510FE" w:rsidRDefault="00E07A6D" w:rsidP="00F510FE">
      <w:pPr>
        <w:pStyle w:val="a3"/>
        <w:numPr>
          <w:ilvl w:val="0"/>
          <w:numId w:val="8"/>
        </w:numPr>
        <w:spacing w:after="0" w:line="240" w:lineRule="auto"/>
        <w:jc w:val="both"/>
        <w:rPr>
          <w:rFonts w:ascii="Arial" w:hAnsi="Arial"/>
          <w:b/>
          <w:bCs/>
          <w:sz w:val="26"/>
          <w:szCs w:val="26"/>
          <w:rtl/>
        </w:rPr>
      </w:pPr>
      <w:r w:rsidRPr="00F510FE">
        <w:rPr>
          <w:rFonts w:ascii="Arial" w:eastAsia="Times New Roman" w:hAnsi="Arial"/>
          <w:b/>
          <w:bCs/>
          <w:color w:val="0000FF"/>
          <w:sz w:val="26"/>
          <w:szCs w:val="26"/>
          <w:rtl/>
        </w:rPr>
        <w:t>מטרות הקורס</w:t>
      </w:r>
      <w:r w:rsidR="00F510FE">
        <w:rPr>
          <w:rFonts w:ascii="Arial" w:hAnsi="Arial" w:hint="cs"/>
          <w:b/>
          <w:bCs/>
          <w:sz w:val="26"/>
          <w:szCs w:val="26"/>
          <w:rtl/>
        </w:rPr>
        <w:t>:</w:t>
      </w:r>
    </w:p>
    <w:p w:rsidR="00BA2F5B" w:rsidRPr="00F510FE" w:rsidRDefault="00CB1F05" w:rsidP="00F510FE">
      <w:pPr>
        <w:ind w:left="-9" w:right="-9"/>
        <w:jc w:val="both"/>
        <w:rPr>
          <w:rFonts w:ascii="Arial" w:hAnsi="Arial" w:cs="Arial"/>
          <w:sz w:val="24"/>
          <w:szCs w:val="24"/>
          <w:rtl/>
          <w:lang w:eastAsia="en-US"/>
        </w:rPr>
      </w:pPr>
      <w:r w:rsidRPr="00F510FE">
        <w:rPr>
          <w:rFonts w:ascii="Arial" w:hAnsi="Arial" w:cs="Arial" w:hint="cs"/>
          <w:sz w:val="24"/>
          <w:szCs w:val="24"/>
          <w:rtl/>
          <w:lang w:eastAsia="en-US"/>
        </w:rPr>
        <w:t xml:space="preserve">כדי לקבל החלטה ניהולית/כספית ברמת החברה, על המנהל להכיר ולהבין לא רק את הסביבה הענפית בה הוא פועל, אלא גם את הגורמים המאקרו כלכליים המשפיעים על המשק בכללותו. גורמים אלו יכולים להשפיע על שערי הריבית במשק, על שערי החליפין, על המחירים ועוד. מטרת הקורס לחשוף את הסטודנטים לסביבה המאקרו כלכלית הגלובלית המשפיעה על המשק, ככלל, ועל הפירמה, בפרט. ראשית, נכיר </w:t>
      </w:r>
      <w:r w:rsidR="00844893" w:rsidRPr="00F510FE">
        <w:rPr>
          <w:rFonts w:ascii="Arial" w:hAnsi="Arial" w:cs="Arial" w:hint="cs"/>
          <w:sz w:val="24"/>
          <w:szCs w:val="24"/>
          <w:rtl/>
          <w:lang w:eastAsia="en-US"/>
        </w:rPr>
        <w:t xml:space="preserve">את הסביבה </w:t>
      </w:r>
      <w:r w:rsidR="00427919" w:rsidRPr="00F510FE">
        <w:rPr>
          <w:rFonts w:ascii="Arial" w:hAnsi="Arial" w:cs="Arial" w:hint="cs"/>
          <w:sz w:val="24"/>
          <w:szCs w:val="24"/>
          <w:rtl/>
          <w:lang w:eastAsia="en-US"/>
        </w:rPr>
        <w:t xml:space="preserve">הכלכלית </w:t>
      </w:r>
      <w:r w:rsidR="00844893" w:rsidRPr="00F510FE">
        <w:rPr>
          <w:rFonts w:ascii="Arial" w:hAnsi="Arial" w:cs="Arial" w:hint="cs"/>
          <w:sz w:val="24"/>
          <w:szCs w:val="24"/>
          <w:rtl/>
          <w:lang w:eastAsia="en-US"/>
        </w:rPr>
        <w:t>הגלובלית</w:t>
      </w:r>
      <w:r w:rsidR="00427919" w:rsidRPr="00F510FE">
        <w:rPr>
          <w:rFonts w:ascii="Arial" w:hAnsi="Arial" w:cs="Arial" w:hint="cs"/>
          <w:sz w:val="24"/>
          <w:szCs w:val="24"/>
          <w:rtl/>
          <w:lang w:eastAsia="en-US"/>
        </w:rPr>
        <w:t xml:space="preserve"> והמקומית ואת המוסדות הבינלאומיים ותפקידם. </w:t>
      </w:r>
      <w:r w:rsidRPr="00F510FE">
        <w:rPr>
          <w:rFonts w:ascii="Arial" w:hAnsi="Arial" w:cs="Arial" w:hint="cs"/>
          <w:sz w:val="24"/>
          <w:szCs w:val="24"/>
          <w:rtl/>
          <w:lang w:eastAsia="en-US"/>
        </w:rPr>
        <w:t xml:space="preserve">נבין </w:t>
      </w:r>
      <w:r w:rsidR="00427919" w:rsidRPr="00F510FE">
        <w:rPr>
          <w:rFonts w:ascii="Arial" w:hAnsi="Arial" w:cs="Arial" w:hint="cs"/>
          <w:sz w:val="24"/>
          <w:szCs w:val="24"/>
          <w:rtl/>
          <w:lang w:eastAsia="en-US"/>
        </w:rPr>
        <w:t xml:space="preserve">מהו דרוג אשראי, את הגורמים המשפיעים עליו במשק הישראלי ומהי השפעתו על החברות הפועלות במשק. </w:t>
      </w:r>
      <w:r w:rsidRPr="00F510FE">
        <w:rPr>
          <w:rFonts w:ascii="Arial" w:hAnsi="Arial" w:cs="Arial" w:hint="cs"/>
          <w:sz w:val="24"/>
          <w:szCs w:val="24"/>
          <w:rtl/>
          <w:lang w:eastAsia="en-US"/>
        </w:rPr>
        <w:t>נדון ב</w:t>
      </w:r>
      <w:r w:rsidR="00427919" w:rsidRPr="00F510FE">
        <w:rPr>
          <w:rFonts w:ascii="Arial" w:hAnsi="Arial" w:cs="Arial" w:hint="cs"/>
          <w:sz w:val="24"/>
          <w:szCs w:val="24"/>
          <w:rtl/>
          <w:lang w:eastAsia="en-US"/>
        </w:rPr>
        <w:t xml:space="preserve">תהליכים שהביאו למשברים הפיננסיים הגלובליים בעשור האחרון והשפעתם עלינו. </w:t>
      </w:r>
      <w:r w:rsidRPr="00F510FE">
        <w:rPr>
          <w:rFonts w:ascii="Arial" w:hAnsi="Arial" w:cs="Arial" w:hint="cs"/>
          <w:sz w:val="24"/>
          <w:szCs w:val="24"/>
          <w:rtl/>
          <w:lang w:eastAsia="en-US"/>
        </w:rPr>
        <w:t>נדון ב</w:t>
      </w:r>
      <w:r w:rsidR="00427919" w:rsidRPr="00F510FE">
        <w:rPr>
          <w:rFonts w:ascii="Arial" w:hAnsi="Arial" w:cs="Arial" w:hint="cs"/>
          <w:sz w:val="24"/>
          <w:szCs w:val="24"/>
          <w:rtl/>
          <w:lang w:eastAsia="en-US"/>
        </w:rPr>
        <w:t>שוקי האג"ח, המק"מ והמט"ח והגורמים המשפיעים עליהם</w:t>
      </w:r>
      <w:r w:rsidRPr="00F510FE">
        <w:rPr>
          <w:rFonts w:ascii="Arial" w:hAnsi="Arial" w:cs="Arial" w:hint="cs"/>
          <w:sz w:val="24"/>
          <w:szCs w:val="24"/>
          <w:rtl/>
          <w:lang w:eastAsia="en-US"/>
        </w:rPr>
        <w:t xml:space="preserve"> וכן נבחן את ה</w:t>
      </w:r>
      <w:r w:rsidR="00427919" w:rsidRPr="00F510FE">
        <w:rPr>
          <w:rFonts w:ascii="Arial" w:hAnsi="Arial" w:cs="Arial" w:hint="cs"/>
          <w:sz w:val="24"/>
          <w:szCs w:val="24"/>
          <w:rtl/>
          <w:lang w:eastAsia="en-US"/>
        </w:rPr>
        <w:t>סיכונים בהשקעות בני"ע ו</w:t>
      </w:r>
      <w:r w:rsidRPr="00F510FE">
        <w:rPr>
          <w:rFonts w:ascii="Arial" w:hAnsi="Arial" w:cs="Arial" w:hint="cs"/>
          <w:sz w:val="24"/>
          <w:szCs w:val="24"/>
          <w:rtl/>
          <w:lang w:eastAsia="en-US"/>
        </w:rPr>
        <w:t>איך ניתן להתמודד איתם</w:t>
      </w:r>
      <w:r w:rsidR="00427919" w:rsidRPr="00F510FE">
        <w:rPr>
          <w:rFonts w:ascii="Arial" w:hAnsi="Arial" w:cs="Arial" w:hint="cs"/>
          <w:sz w:val="24"/>
          <w:szCs w:val="24"/>
          <w:rtl/>
          <w:lang w:eastAsia="en-US"/>
        </w:rPr>
        <w:t>.</w:t>
      </w:r>
      <w:r w:rsidR="00BA2F5B" w:rsidRPr="00F510FE">
        <w:rPr>
          <w:rFonts w:ascii="Arial" w:hAnsi="Arial" w:cs="Arial" w:hint="cs"/>
          <w:sz w:val="24"/>
          <w:szCs w:val="24"/>
          <w:rtl/>
          <w:lang w:eastAsia="en-US"/>
        </w:rPr>
        <w:t xml:space="preserve"> במהלך הקורס ישולבו נושאים אקטואליים מהמציאות הכלכלית בארץ ובעולם.</w:t>
      </w:r>
    </w:p>
    <w:p w:rsidR="00BA2F5B" w:rsidRDefault="00BA2F5B" w:rsidP="00F510FE">
      <w:pPr>
        <w:ind w:left="-9" w:right="-9"/>
        <w:jc w:val="both"/>
        <w:rPr>
          <w:rFonts w:cs="David"/>
          <w:sz w:val="24"/>
          <w:szCs w:val="24"/>
          <w:rtl/>
        </w:rPr>
      </w:pPr>
    </w:p>
    <w:p w:rsidR="00E07A6D" w:rsidRPr="00F510FE" w:rsidRDefault="00E07A6D" w:rsidP="00F510FE">
      <w:pPr>
        <w:pStyle w:val="a3"/>
        <w:numPr>
          <w:ilvl w:val="0"/>
          <w:numId w:val="8"/>
        </w:numPr>
        <w:spacing w:after="0" w:line="240" w:lineRule="auto"/>
        <w:jc w:val="both"/>
        <w:rPr>
          <w:rFonts w:ascii="Arial" w:hAnsi="Arial"/>
          <w:b/>
          <w:bCs/>
          <w:sz w:val="26"/>
          <w:szCs w:val="26"/>
        </w:rPr>
      </w:pPr>
      <w:r w:rsidRPr="00F510FE">
        <w:rPr>
          <w:rFonts w:ascii="Arial" w:eastAsia="Times New Roman" w:hAnsi="Arial"/>
          <w:b/>
          <w:bCs/>
          <w:color w:val="0000FF"/>
          <w:sz w:val="26"/>
          <w:szCs w:val="26"/>
          <w:rtl/>
        </w:rPr>
        <w:t>תוכן הקורס</w:t>
      </w:r>
      <w:r w:rsidR="00F510FE">
        <w:rPr>
          <w:rFonts w:ascii="Arial" w:eastAsia="Times New Roman" w:hAnsi="Arial" w:hint="cs"/>
          <w:b/>
          <w:bCs/>
          <w:color w:val="0000FF"/>
          <w:sz w:val="26"/>
          <w:szCs w:val="26"/>
          <w:rtl/>
        </w:rPr>
        <w:t>:</w:t>
      </w:r>
    </w:p>
    <w:p w:rsidR="00E07A6D" w:rsidRPr="00F510FE" w:rsidRDefault="00E07A6D" w:rsidP="00F510FE">
      <w:pPr>
        <w:pStyle w:val="a3"/>
        <w:numPr>
          <w:ilvl w:val="0"/>
          <w:numId w:val="3"/>
        </w:numPr>
        <w:spacing w:after="0" w:line="240" w:lineRule="auto"/>
        <w:ind w:left="368"/>
        <w:jc w:val="both"/>
        <w:rPr>
          <w:rFonts w:ascii="Arial" w:eastAsia="Times New Roman" w:hAnsi="Arial"/>
          <w:sz w:val="24"/>
          <w:szCs w:val="24"/>
        </w:rPr>
      </w:pPr>
      <w:r w:rsidRPr="00F510FE">
        <w:rPr>
          <w:rFonts w:ascii="Arial" w:eastAsia="Times New Roman" w:hAnsi="Arial"/>
          <w:sz w:val="24"/>
          <w:szCs w:val="24"/>
          <w:rtl/>
        </w:rPr>
        <w:t>תיאור הסביבה הכלכלית הגלובלית והמקומית.</w:t>
      </w:r>
    </w:p>
    <w:p w:rsidR="00E07A6D" w:rsidRPr="00F510FE" w:rsidRDefault="00E07A6D" w:rsidP="00F510FE">
      <w:pPr>
        <w:pStyle w:val="a3"/>
        <w:numPr>
          <w:ilvl w:val="0"/>
          <w:numId w:val="3"/>
        </w:numPr>
        <w:spacing w:after="0" w:line="240" w:lineRule="auto"/>
        <w:ind w:left="368"/>
        <w:jc w:val="both"/>
        <w:rPr>
          <w:rFonts w:ascii="Arial" w:eastAsia="Times New Roman" w:hAnsi="Arial"/>
          <w:sz w:val="24"/>
          <w:szCs w:val="24"/>
          <w:rtl/>
        </w:rPr>
      </w:pPr>
      <w:r w:rsidRPr="00F510FE">
        <w:rPr>
          <w:rFonts w:ascii="Arial" w:eastAsia="Times New Roman" w:hAnsi="Arial"/>
          <w:sz w:val="24"/>
          <w:szCs w:val="24"/>
          <w:rtl/>
        </w:rPr>
        <w:t xml:space="preserve">מוסדות בינלאומיים – </w:t>
      </w:r>
      <w:r w:rsidRPr="00F510FE">
        <w:rPr>
          <w:rFonts w:ascii="Arial" w:eastAsia="Times New Roman" w:hAnsi="Arial"/>
          <w:sz w:val="24"/>
          <w:szCs w:val="24"/>
        </w:rPr>
        <w:t>IMF</w:t>
      </w:r>
      <w:r w:rsidRPr="00F510FE">
        <w:rPr>
          <w:rFonts w:ascii="Arial" w:eastAsia="Times New Roman" w:hAnsi="Arial"/>
          <w:sz w:val="24"/>
          <w:szCs w:val="24"/>
          <w:rtl/>
        </w:rPr>
        <w:t xml:space="preserve"> והבנק העולמי. ארגונים כלכליים בינלאומיים – </w:t>
      </w:r>
      <w:r w:rsidRPr="00F510FE">
        <w:rPr>
          <w:rFonts w:ascii="Arial" w:eastAsia="Times New Roman" w:hAnsi="Arial"/>
          <w:sz w:val="24"/>
          <w:szCs w:val="24"/>
        </w:rPr>
        <w:t>OECD</w:t>
      </w:r>
      <w:r w:rsidRPr="00F510FE">
        <w:rPr>
          <w:rFonts w:ascii="Arial" w:eastAsia="Times New Roman" w:hAnsi="Arial"/>
          <w:sz w:val="24"/>
          <w:szCs w:val="24"/>
          <w:rtl/>
        </w:rPr>
        <w:t xml:space="preserve">. גוש היורו, האיחוד האירופי ומדינות ה- </w:t>
      </w:r>
      <w:r w:rsidRPr="00F510FE">
        <w:rPr>
          <w:rFonts w:ascii="Arial" w:eastAsia="Times New Roman" w:hAnsi="Arial"/>
          <w:sz w:val="24"/>
          <w:szCs w:val="24"/>
        </w:rPr>
        <w:t>G6-G8</w:t>
      </w:r>
      <w:r w:rsidRPr="00F510FE">
        <w:rPr>
          <w:rFonts w:ascii="Arial" w:eastAsia="Times New Roman" w:hAnsi="Arial"/>
          <w:sz w:val="24"/>
          <w:szCs w:val="24"/>
          <w:rtl/>
        </w:rPr>
        <w:t>.</w:t>
      </w:r>
    </w:p>
    <w:p w:rsidR="00E07A6D" w:rsidRPr="00F510FE" w:rsidRDefault="00E07A6D" w:rsidP="00F510FE">
      <w:pPr>
        <w:pStyle w:val="a3"/>
        <w:numPr>
          <w:ilvl w:val="0"/>
          <w:numId w:val="3"/>
        </w:numPr>
        <w:spacing w:after="0" w:line="240" w:lineRule="auto"/>
        <w:ind w:left="368"/>
        <w:jc w:val="both"/>
        <w:rPr>
          <w:rFonts w:ascii="Arial" w:eastAsia="Times New Roman" w:hAnsi="Arial"/>
          <w:sz w:val="24"/>
          <w:szCs w:val="24"/>
          <w:rtl/>
        </w:rPr>
      </w:pPr>
      <w:r w:rsidRPr="00F510FE">
        <w:rPr>
          <w:rFonts w:ascii="Arial" w:eastAsia="Times New Roman" w:hAnsi="Arial"/>
          <w:sz w:val="24"/>
          <w:szCs w:val="24"/>
          <w:rtl/>
        </w:rPr>
        <w:t>דירוג אשראי.</w:t>
      </w:r>
    </w:p>
    <w:p w:rsidR="00E07A6D" w:rsidRPr="00F510FE" w:rsidRDefault="00E07A6D" w:rsidP="00F510FE">
      <w:pPr>
        <w:pStyle w:val="a3"/>
        <w:numPr>
          <w:ilvl w:val="0"/>
          <w:numId w:val="3"/>
        </w:numPr>
        <w:spacing w:after="0" w:line="240" w:lineRule="auto"/>
        <w:ind w:left="368"/>
        <w:jc w:val="both"/>
        <w:rPr>
          <w:rFonts w:ascii="Arial" w:eastAsia="Times New Roman" w:hAnsi="Arial"/>
          <w:sz w:val="24"/>
          <w:szCs w:val="24"/>
          <w:rtl/>
        </w:rPr>
      </w:pPr>
      <w:r w:rsidRPr="00F510FE">
        <w:rPr>
          <w:rFonts w:ascii="Arial" w:eastAsia="Times New Roman" w:hAnsi="Arial"/>
          <w:sz w:val="24"/>
          <w:szCs w:val="24"/>
          <w:rtl/>
        </w:rPr>
        <w:t>משברים פיננסיים גלובליים והשפעתם על המשק הישראלי.</w:t>
      </w:r>
    </w:p>
    <w:p w:rsidR="00E07A6D" w:rsidRPr="00F510FE" w:rsidRDefault="00427919" w:rsidP="00F510FE">
      <w:pPr>
        <w:pStyle w:val="a3"/>
        <w:numPr>
          <w:ilvl w:val="0"/>
          <w:numId w:val="3"/>
        </w:numPr>
        <w:spacing w:after="0" w:line="240" w:lineRule="auto"/>
        <w:ind w:left="368"/>
        <w:jc w:val="both"/>
        <w:rPr>
          <w:rFonts w:ascii="Arial" w:eastAsia="Times New Roman" w:hAnsi="Arial"/>
          <w:sz w:val="24"/>
          <w:szCs w:val="24"/>
          <w:rtl/>
        </w:rPr>
      </w:pPr>
      <w:r w:rsidRPr="00F510FE">
        <w:rPr>
          <w:rFonts w:ascii="Arial" w:eastAsia="Times New Roman" w:hAnsi="Arial" w:hint="cs"/>
          <w:sz w:val="24"/>
          <w:szCs w:val="24"/>
          <w:rtl/>
        </w:rPr>
        <w:t xml:space="preserve">שוקי האג"ח והמק"מ - </w:t>
      </w:r>
      <w:r w:rsidR="00E07A6D" w:rsidRPr="00F510FE">
        <w:rPr>
          <w:rFonts w:ascii="Arial" w:eastAsia="Times New Roman" w:hAnsi="Arial"/>
          <w:sz w:val="24"/>
          <w:szCs w:val="24"/>
          <w:rtl/>
        </w:rPr>
        <w:t>הגורמים המשפיעים על הריביות הקצרות ועל הריביות הארוכות במשק.</w:t>
      </w:r>
    </w:p>
    <w:p w:rsidR="00E07A6D" w:rsidRPr="00F510FE" w:rsidRDefault="00E07A6D" w:rsidP="00F510FE">
      <w:pPr>
        <w:pStyle w:val="a3"/>
        <w:numPr>
          <w:ilvl w:val="0"/>
          <w:numId w:val="3"/>
        </w:numPr>
        <w:spacing w:after="0" w:line="240" w:lineRule="auto"/>
        <w:ind w:left="368"/>
        <w:jc w:val="both"/>
        <w:rPr>
          <w:rFonts w:ascii="Arial" w:eastAsia="Times New Roman" w:hAnsi="Arial"/>
          <w:sz w:val="24"/>
          <w:szCs w:val="24"/>
          <w:rtl/>
        </w:rPr>
      </w:pPr>
      <w:r w:rsidRPr="00F510FE">
        <w:rPr>
          <w:rFonts w:ascii="Arial" w:eastAsia="Times New Roman" w:hAnsi="Arial"/>
          <w:sz w:val="24"/>
          <w:szCs w:val="24"/>
          <w:rtl/>
        </w:rPr>
        <w:t xml:space="preserve">שערי חליפין ושוקי </w:t>
      </w:r>
      <w:r w:rsidR="00427919" w:rsidRPr="00F510FE">
        <w:rPr>
          <w:rFonts w:ascii="Arial" w:eastAsia="Times New Roman" w:hAnsi="Arial"/>
          <w:sz w:val="24"/>
          <w:szCs w:val="24"/>
          <w:rtl/>
        </w:rPr>
        <w:t>מט"ח</w:t>
      </w:r>
      <w:r w:rsidR="00427919" w:rsidRPr="00F510FE">
        <w:rPr>
          <w:rFonts w:ascii="Arial" w:eastAsia="Times New Roman" w:hAnsi="Arial" w:hint="cs"/>
          <w:sz w:val="24"/>
          <w:szCs w:val="24"/>
          <w:rtl/>
        </w:rPr>
        <w:t xml:space="preserve"> - </w:t>
      </w:r>
      <w:r w:rsidRPr="00F510FE">
        <w:rPr>
          <w:rFonts w:ascii="Arial" w:eastAsia="Times New Roman" w:hAnsi="Arial"/>
          <w:sz w:val="24"/>
          <w:szCs w:val="24"/>
          <w:rtl/>
        </w:rPr>
        <w:t>הכוחות הכלכליים המשפיעים על שערי החליפין בזמן הקצר והארוך.</w:t>
      </w:r>
    </w:p>
    <w:p w:rsidR="00E07A6D" w:rsidRPr="00F510FE" w:rsidRDefault="00E07A6D" w:rsidP="00F510FE">
      <w:pPr>
        <w:numPr>
          <w:ilvl w:val="0"/>
          <w:numId w:val="3"/>
        </w:numPr>
        <w:ind w:left="368" w:right="720"/>
        <w:jc w:val="both"/>
        <w:rPr>
          <w:rFonts w:ascii="Arial" w:hAnsi="Arial" w:cs="Arial"/>
          <w:sz w:val="24"/>
          <w:szCs w:val="24"/>
          <w:lang w:eastAsia="en-US"/>
        </w:rPr>
      </w:pPr>
      <w:r w:rsidRPr="00F510FE">
        <w:rPr>
          <w:rFonts w:ascii="Arial" w:hAnsi="Arial" w:cs="Arial"/>
          <w:sz w:val="24"/>
          <w:szCs w:val="24"/>
          <w:rtl/>
          <w:lang w:eastAsia="en-US"/>
        </w:rPr>
        <w:t>סיכונים בהשקעות בני"ע</w:t>
      </w:r>
      <w:r w:rsidR="00427919" w:rsidRPr="00F510FE">
        <w:rPr>
          <w:rFonts w:ascii="Arial" w:hAnsi="Arial" w:cs="Arial" w:hint="cs"/>
          <w:sz w:val="24"/>
          <w:szCs w:val="24"/>
          <w:rtl/>
          <w:lang w:eastAsia="en-US"/>
        </w:rPr>
        <w:t xml:space="preserve"> והאפשרות להתמודד איתם.</w:t>
      </w:r>
    </w:p>
    <w:p w:rsidR="00E07A6D" w:rsidRPr="00E07A6D" w:rsidRDefault="00E07A6D" w:rsidP="00F510FE">
      <w:pPr>
        <w:jc w:val="both"/>
        <w:rPr>
          <w:rFonts w:ascii="David" w:hAnsi="David" w:cs="David"/>
          <w:sz w:val="24"/>
          <w:szCs w:val="24"/>
          <w:rtl/>
          <w:lang w:eastAsia="en-US"/>
        </w:rPr>
      </w:pPr>
    </w:p>
    <w:p w:rsidR="00E07A6D" w:rsidRPr="00F510FE" w:rsidRDefault="00E07A6D" w:rsidP="00F510FE">
      <w:pPr>
        <w:pStyle w:val="a3"/>
        <w:numPr>
          <w:ilvl w:val="0"/>
          <w:numId w:val="8"/>
        </w:numPr>
        <w:spacing w:after="0" w:line="240" w:lineRule="auto"/>
        <w:jc w:val="both"/>
        <w:rPr>
          <w:rFonts w:ascii="Arial" w:hAnsi="Arial"/>
          <w:b/>
          <w:bCs/>
          <w:sz w:val="26"/>
          <w:szCs w:val="26"/>
          <w:rtl/>
        </w:rPr>
      </w:pPr>
      <w:r w:rsidRPr="00F510FE">
        <w:rPr>
          <w:rFonts w:ascii="Arial" w:eastAsia="Times New Roman" w:hAnsi="Arial"/>
          <w:b/>
          <w:bCs/>
          <w:color w:val="0000FF"/>
          <w:sz w:val="26"/>
          <w:szCs w:val="26"/>
          <w:rtl/>
        </w:rPr>
        <w:t>חובות הקורס</w:t>
      </w:r>
      <w:r w:rsidR="00F510FE">
        <w:rPr>
          <w:rFonts w:ascii="Arial" w:eastAsia="Times New Roman" w:hAnsi="Arial" w:hint="cs"/>
          <w:b/>
          <w:bCs/>
          <w:color w:val="0000FF"/>
          <w:sz w:val="26"/>
          <w:szCs w:val="26"/>
          <w:rtl/>
        </w:rPr>
        <w:t>:</w:t>
      </w:r>
    </w:p>
    <w:p w:rsidR="00E07A6D" w:rsidRPr="00F510FE" w:rsidRDefault="00E07A6D" w:rsidP="00F510FE">
      <w:pPr>
        <w:ind w:firstLine="26"/>
        <w:jc w:val="both"/>
        <w:rPr>
          <w:rFonts w:ascii="Arial" w:hAnsi="Arial" w:cs="Arial"/>
          <w:sz w:val="24"/>
          <w:szCs w:val="24"/>
          <w:lang w:eastAsia="en-US"/>
        </w:rPr>
      </w:pPr>
      <w:r w:rsidRPr="00F510FE">
        <w:rPr>
          <w:rFonts w:ascii="Arial" w:hAnsi="Arial" w:cs="Arial"/>
          <w:sz w:val="24"/>
          <w:szCs w:val="24"/>
          <w:rtl/>
          <w:lang w:eastAsia="en-US"/>
        </w:rPr>
        <w:t>נוכחות בשיעורים</w:t>
      </w:r>
      <w:r w:rsidRPr="00F510FE">
        <w:rPr>
          <w:rFonts w:ascii="Arial" w:hAnsi="Arial" w:cs="Arial" w:hint="cs"/>
          <w:sz w:val="24"/>
          <w:szCs w:val="24"/>
          <w:rtl/>
          <w:lang w:eastAsia="en-US"/>
        </w:rPr>
        <w:t>.</w:t>
      </w:r>
    </w:p>
    <w:p w:rsidR="00E07A6D" w:rsidRPr="00F510FE" w:rsidRDefault="00E07A6D" w:rsidP="00F510FE">
      <w:pPr>
        <w:jc w:val="both"/>
        <w:rPr>
          <w:rFonts w:ascii="Arial" w:hAnsi="Arial" w:cs="Arial"/>
          <w:sz w:val="24"/>
          <w:szCs w:val="24"/>
          <w:rtl/>
          <w:lang w:eastAsia="en-US"/>
        </w:rPr>
      </w:pPr>
      <w:r w:rsidRPr="00F510FE">
        <w:rPr>
          <w:rFonts w:ascii="Arial" w:hAnsi="Arial" w:cs="Arial"/>
          <w:sz w:val="24"/>
          <w:szCs w:val="24"/>
          <w:rtl/>
          <w:lang w:eastAsia="en-US"/>
        </w:rPr>
        <w:t>מרכיבי הציון הסופי: 100% בחינה.</w:t>
      </w:r>
    </w:p>
    <w:p w:rsidR="00E07A6D" w:rsidRPr="00E07A6D" w:rsidRDefault="00E07A6D" w:rsidP="00F510FE">
      <w:pPr>
        <w:jc w:val="both"/>
        <w:rPr>
          <w:rFonts w:ascii="David" w:hAnsi="David" w:cs="David"/>
          <w:sz w:val="24"/>
          <w:szCs w:val="24"/>
          <w:rtl/>
          <w:lang w:eastAsia="en-US"/>
        </w:rPr>
      </w:pPr>
    </w:p>
    <w:p w:rsidR="00E07A6D" w:rsidRPr="00F510FE" w:rsidRDefault="00F510FE" w:rsidP="00F510FE">
      <w:pPr>
        <w:pStyle w:val="a3"/>
        <w:numPr>
          <w:ilvl w:val="0"/>
          <w:numId w:val="8"/>
        </w:numPr>
        <w:spacing w:after="0" w:line="240" w:lineRule="auto"/>
        <w:jc w:val="both"/>
        <w:rPr>
          <w:rFonts w:ascii="Arial" w:hAnsi="Arial"/>
          <w:b/>
          <w:bCs/>
          <w:sz w:val="26"/>
          <w:szCs w:val="26"/>
          <w:rtl/>
        </w:rPr>
      </w:pPr>
      <w:r>
        <w:rPr>
          <w:rFonts w:ascii="Arial" w:eastAsia="Times New Roman" w:hAnsi="Arial"/>
          <w:b/>
          <w:bCs/>
          <w:color w:val="0000FF"/>
          <w:sz w:val="26"/>
          <w:szCs w:val="26"/>
          <w:rtl/>
        </w:rPr>
        <w:t>ביבליוגרפיה</w:t>
      </w:r>
      <w:r>
        <w:rPr>
          <w:rFonts w:ascii="Arial" w:hAnsi="Arial" w:hint="cs"/>
          <w:b/>
          <w:bCs/>
          <w:sz w:val="26"/>
          <w:szCs w:val="26"/>
          <w:rtl/>
        </w:rPr>
        <w:t>:</w:t>
      </w:r>
    </w:p>
    <w:p w:rsidR="00E07A6D" w:rsidRPr="00F510FE" w:rsidRDefault="00E07A6D" w:rsidP="00F510FE">
      <w:pPr>
        <w:jc w:val="both"/>
        <w:rPr>
          <w:rFonts w:ascii="Arial" w:hAnsi="Arial" w:cs="Arial"/>
          <w:sz w:val="24"/>
          <w:szCs w:val="24"/>
          <w:u w:val="single"/>
          <w:rtl/>
        </w:rPr>
      </w:pPr>
      <w:r w:rsidRPr="00F510FE">
        <w:rPr>
          <w:rFonts w:ascii="Arial" w:hAnsi="Arial" w:cs="Arial"/>
          <w:sz w:val="24"/>
          <w:szCs w:val="24"/>
          <w:u w:val="single"/>
          <w:rtl/>
        </w:rPr>
        <w:t>דירוג אשראי</w:t>
      </w:r>
    </w:p>
    <w:p w:rsidR="00E07A6D" w:rsidRPr="00F510FE" w:rsidRDefault="00E07A6D" w:rsidP="00F510FE">
      <w:pPr>
        <w:pStyle w:val="a4"/>
        <w:ind w:left="0" w:firstLine="0"/>
        <w:jc w:val="both"/>
        <w:rPr>
          <w:rFonts w:ascii="Arial" w:hAnsi="Arial" w:cs="Arial"/>
          <w:rtl/>
        </w:rPr>
      </w:pPr>
      <w:r w:rsidRPr="00F510FE">
        <w:rPr>
          <w:rFonts w:ascii="Arial" w:hAnsi="Arial" w:cs="Arial"/>
          <w:rtl/>
        </w:rPr>
        <w:t xml:space="preserve">יש לקרוא את הנושאים הבאים (הקישורים הם מתוך אתר משרד האוצר - בכל קישור יש לקרוא את כל תתי הנושאים הנמצאים בו): </w:t>
      </w:r>
    </w:p>
    <w:p w:rsidR="00E07A6D" w:rsidRPr="00F510FE" w:rsidRDefault="00E07A6D" w:rsidP="00F510FE">
      <w:pPr>
        <w:pStyle w:val="NormalWeb"/>
        <w:numPr>
          <w:ilvl w:val="0"/>
          <w:numId w:val="6"/>
        </w:numPr>
        <w:shd w:val="clear" w:color="auto" w:fill="FFFFFF"/>
        <w:bidi/>
        <w:spacing w:before="0" w:beforeAutospacing="0" w:after="0" w:afterAutospacing="0"/>
        <w:jc w:val="both"/>
        <w:rPr>
          <w:rFonts w:ascii="Arial" w:hAnsi="Arial" w:cs="Arial"/>
          <w:rtl/>
        </w:rPr>
      </w:pPr>
      <w:r w:rsidRPr="00F510FE">
        <w:rPr>
          <w:rFonts w:ascii="Arial" w:hAnsi="Arial" w:cs="Arial"/>
          <w:rtl/>
        </w:rPr>
        <w:t>דירוג אשראי.</w:t>
      </w:r>
    </w:p>
    <w:p w:rsidR="00E07A6D" w:rsidRPr="00F510FE" w:rsidRDefault="007B339C" w:rsidP="00F510FE">
      <w:pPr>
        <w:pStyle w:val="NormalWeb"/>
        <w:shd w:val="clear" w:color="auto" w:fill="FFFFFF"/>
        <w:spacing w:before="0" w:beforeAutospacing="0" w:after="0" w:afterAutospacing="0"/>
        <w:ind w:left="360"/>
        <w:jc w:val="both"/>
        <w:rPr>
          <w:rStyle w:val="Hyperlink"/>
          <w:rFonts w:ascii="Arial" w:hAnsi="Arial" w:cs="Arial"/>
          <w:color w:val="auto"/>
          <w:rtl/>
        </w:rPr>
      </w:pPr>
      <w:hyperlink r:id="rId8" w:tgtFrame="_blank" w:history="1">
        <w:r w:rsidR="00E07A6D" w:rsidRPr="00F510FE">
          <w:rPr>
            <w:rStyle w:val="Hyperlink"/>
            <w:rFonts w:ascii="Arial" w:hAnsi="Arial" w:cs="Arial"/>
            <w:color w:val="auto"/>
          </w:rPr>
          <w:t>http://mof.gov.il/AG/FinancingAndCredit/TheCreditRating/Pages/default.aspx</w:t>
        </w:r>
      </w:hyperlink>
    </w:p>
    <w:p w:rsidR="00E07A6D" w:rsidRPr="00F510FE" w:rsidRDefault="00E07A6D" w:rsidP="00F510FE">
      <w:pPr>
        <w:pStyle w:val="NormalWeb"/>
        <w:numPr>
          <w:ilvl w:val="0"/>
          <w:numId w:val="6"/>
        </w:numPr>
        <w:shd w:val="clear" w:color="auto" w:fill="FFFFFF"/>
        <w:bidi/>
        <w:spacing w:before="0" w:beforeAutospacing="0" w:after="0" w:afterAutospacing="0"/>
        <w:jc w:val="both"/>
        <w:rPr>
          <w:rFonts w:ascii="Arial" w:hAnsi="Arial" w:cs="Arial"/>
          <w:rtl/>
        </w:rPr>
      </w:pPr>
      <w:r w:rsidRPr="00F510FE">
        <w:rPr>
          <w:rFonts w:ascii="Arial" w:hAnsi="Arial" w:cs="Arial"/>
          <w:rtl/>
        </w:rPr>
        <w:t>דירוג האשראי של ישראל.</w:t>
      </w:r>
    </w:p>
    <w:p w:rsidR="00E07A6D" w:rsidRPr="00F510FE" w:rsidRDefault="00E07A6D" w:rsidP="00F510FE">
      <w:pPr>
        <w:pStyle w:val="NormalWeb"/>
        <w:shd w:val="clear" w:color="auto" w:fill="FFFFFF"/>
        <w:spacing w:before="0" w:beforeAutospacing="0" w:after="0" w:afterAutospacing="0"/>
        <w:ind w:left="360"/>
        <w:jc w:val="both"/>
        <w:rPr>
          <w:rFonts w:ascii="Arial" w:hAnsi="Arial" w:cs="Arial"/>
          <w:rtl/>
        </w:rPr>
      </w:pPr>
      <w:r w:rsidRPr="00F510FE">
        <w:rPr>
          <w:rFonts w:ascii="Arial" w:hAnsi="Arial" w:cs="Arial"/>
          <w:rtl/>
        </w:rPr>
        <w:t> </w:t>
      </w:r>
      <w:hyperlink r:id="rId9" w:anchor="GovXParagraphTitle3" w:history="1">
        <w:r w:rsidRPr="00F510FE">
          <w:rPr>
            <w:rStyle w:val="Hyperlink"/>
            <w:rFonts w:ascii="Arial" w:hAnsi="Arial" w:cs="Arial"/>
            <w:color w:val="auto"/>
          </w:rPr>
          <w:t>http://mof.gov.il/AG/FinancingAndCredit/TheCreditRating/Pages/IsraelsCreditRating.aspx#GovXParagraphTitle3</w:t>
        </w:r>
      </w:hyperlink>
    </w:p>
    <w:p w:rsidR="00E07A6D" w:rsidRPr="00F510FE" w:rsidRDefault="00E07A6D" w:rsidP="00F510FE">
      <w:pPr>
        <w:pStyle w:val="NormalWeb"/>
        <w:numPr>
          <w:ilvl w:val="0"/>
          <w:numId w:val="6"/>
        </w:numPr>
        <w:shd w:val="clear" w:color="auto" w:fill="FFFFFF"/>
        <w:bidi/>
        <w:spacing w:before="0" w:beforeAutospacing="0" w:after="0" w:afterAutospacing="0"/>
        <w:jc w:val="both"/>
        <w:rPr>
          <w:rFonts w:ascii="Arial" w:hAnsi="Arial" w:cs="Arial"/>
          <w:rtl/>
        </w:rPr>
      </w:pPr>
      <w:r w:rsidRPr="00F510FE">
        <w:rPr>
          <w:rFonts w:ascii="Arial" w:hAnsi="Arial" w:cs="Arial"/>
        </w:rPr>
        <w:t> </w:t>
      </w:r>
      <w:r w:rsidRPr="00F510FE">
        <w:rPr>
          <w:rFonts w:ascii="Arial" w:hAnsi="Arial" w:cs="Arial"/>
          <w:rtl/>
        </w:rPr>
        <w:t>מתודולוגיית דירוג אשראי.</w:t>
      </w:r>
    </w:p>
    <w:p w:rsidR="00E07A6D" w:rsidRPr="00F510FE" w:rsidRDefault="007B339C" w:rsidP="00F510FE">
      <w:pPr>
        <w:pStyle w:val="NormalWeb"/>
        <w:shd w:val="clear" w:color="auto" w:fill="FFFFFF"/>
        <w:spacing w:before="0" w:beforeAutospacing="0" w:after="0" w:afterAutospacing="0"/>
        <w:ind w:left="360"/>
        <w:jc w:val="both"/>
        <w:rPr>
          <w:rFonts w:ascii="Arial" w:hAnsi="Arial" w:cs="Arial"/>
          <w:rtl/>
        </w:rPr>
      </w:pPr>
      <w:hyperlink r:id="rId10" w:tgtFrame="_blank" w:history="1">
        <w:r w:rsidR="00E07A6D" w:rsidRPr="00F510FE">
          <w:rPr>
            <w:rStyle w:val="Hyperlink"/>
            <w:rFonts w:ascii="Arial" w:hAnsi="Arial" w:cs="Arial"/>
            <w:color w:val="auto"/>
          </w:rPr>
          <w:t>http://mof.gov.il/AG/FinancingAndCredit/TheCreditRating/Pages/CreditRatingMethodology.aspx</w:t>
        </w:r>
      </w:hyperlink>
    </w:p>
    <w:p w:rsidR="00E07A6D" w:rsidRPr="00F510FE" w:rsidRDefault="00E07A6D" w:rsidP="00F510FE">
      <w:pPr>
        <w:pStyle w:val="NormalWeb"/>
        <w:numPr>
          <w:ilvl w:val="0"/>
          <w:numId w:val="6"/>
        </w:numPr>
        <w:shd w:val="clear" w:color="auto" w:fill="FFFFFF"/>
        <w:bidi/>
        <w:spacing w:before="0" w:beforeAutospacing="0" w:after="0" w:afterAutospacing="0"/>
        <w:jc w:val="both"/>
        <w:rPr>
          <w:rFonts w:ascii="Arial" w:hAnsi="Arial" w:cs="Arial"/>
          <w:rtl/>
        </w:rPr>
      </w:pPr>
      <w:r w:rsidRPr="00F510FE">
        <w:rPr>
          <w:rFonts w:ascii="Arial" w:hAnsi="Arial" w:cs="Arial"/>
        </w:rPr>
        <w:lastRenderedPageBreak/>
        <w:t> </w:t>
      </w:r>
      <w:r w:rsidRPr="00F510FE">
        <w:rPr>
          <w:rFonts w:ascii="Arial" w:hAnsi="Arial" w:cs="Arial"/>
          <w:rtl/>
        </w:rPr>
        <w:t>מקורות גיוס החוב החיצוני.</w:t>
      </w:r>
    </w:p>
    <w:p w:rsidR="00E07A6D" w:rsidRPr="00F510FE" w:rsidRDefault="007B339C" w:rsidP="00F510FE">
      <w:pPr>
        <w:pStyle w:val="NormalWeb"/>
        <w:shd w:val="clear" w:color="auto" w:fill="FFFFFF"/>
        <w:spacing w:before="0" w:beforeAutospacing="0" w:after="0" w:afterAutospacing="0"/>
        <w:ind w:left="360"/>
        <w:jc w:val="both"/>
        <w:rPr>
          <w:rFonts w:ascii="Arial" w:hAnsi="Arial" w:cs="Arial"/>
          <w:rtl/>
        </w:rPr>
      </w:pPr>
      <w:hyperlink r:id="rId11" w:tgtFrame="_blank" w:history="1">
        <w:r w:rsidR="00E07A6D" w:rsidRPr="00F510FE">
          <w:rPr>
            <w:rStyle w:val="Hyperlink"/>
            <w:rFonts w:ascii="Arial" w:hAnsi="Arial" w:cs="Arial"/>
            <w:color w:val="auto"/>
          </w:rPr>
          <w:t>http://mof.gov.il/AG/FinancingAndCredit/ExternalDebt/Pages/RecruitmentSources.aspx</w:t>
        </w:r>
      </w:hyperlink>
    </w:p>
    <w:p w:rsidR="00E07A6D" w:rsidRPr="00F510FE" w:rsidRDefault="00E07A6D" w:rsidP="00F510FE">
      <w:pPr>
        <w:pStyle w:val="NormalWeb"/>
        <w:numPr>
          <w:ilvl w:val="0"/>
          <w:numId w:val="6"/>
        </w:numPr>
        <w:shd w:val="clear" w:color="auto" w:fill="FFFFFF"/>
        <w:bidi/>
        <w:spacing w:before="0" w:beforeAutospacing="0" w:after="0" w:afterAutospacing="0"/>
        <w:jc w:val="both"/>
        <w:rPr>
          <w:rFonts w:ascii="Arial" w:hAnsi="Arial" w:cs="Arial"/>
          <w:rtl/>
        </w:rPr>
      </w:pPr>
      <w:r w:rsidRPr="00F510FE">
        <w:rPr>
          <w:rFonts w:ascii="Arial" w:hAnsi="Arial" w:cs="Arial"/>
        </w:rPr>
        <w:t> </w:t>
      </w:r>
      <w:r w:rsidRPr="00F510FE">
        <w:rPr>
          <w:rFonts w:ascii="Arial" w:hAnsi="Arial" w:cs="Arial"/>
          <w:rtl/>
        </w:rPr>
        <w:t>יחס חוב לתוצר בישראל כמרכיב מרכזי בקביעת דירוג אשראי.</w:t>
      </w:r>
    </w:p>
    <w:p w:rsidR="00E07A6D" w:rsidRPr="00F510FE" w:rsidRDefault="00E07A6D" w:rsidP="00F510FE">
      <w:pPr>
        <w:pStyle w:val="NormalWeb"/>
        <w:shd w:val="clear" w:color="auto" w:fill="FFFFFF"/>
        <w:spacing w:before="0" w:beforeAutospacing="0" w:after="0" w:afterAutospacing="0"/>
        <w:ind w:left="360"/>
        <w:jc w:val="both"/>
        <w:rPr>
          <w:rFonts w:ascii="Arial" w:hAnsi="Arial" w:cs="Arial"/>
          <w:rtl/>
        </w:rPr>
      </w:pPr>
      <w:r w:rsidRPr="00F510FE">
        <w:rPr>
          <w:rFonts w:ascii="Arial" w:hAnsi="Arial" w:cs="Arial"/>
          <w:rtl/>
        </w:rPr>
        <w:t> </w:t>
      </w:r>
      <w:hyperlink r:id="rId12" w:tgtFrame="_blank" w:history="1">
        <w:r w:rsidRPr="00F510FE">
          <w:rPr>
            <w:rStyle w:val="Hyperlink"/>
            <w:rFonts w:ascii="Arial" w:hAnsi="Arial" w:cs="Arial"/>
            <w:color w:val="auto"/>
          </w:rPr>
          <w:t>http://mof.gov.il/AG/FinancingAndCredit/GovernmentDebtIndices/DocLib/GDP_Ratio_heb-2016.pdf</w:t>
        </w:r>
      </w:hyperlink>
    </w:p>
    <w:p w:rsidR="00427919" w:rsidRPr="00F510FE" w:rsidRDefault="00E07A6D" w:rsidP="00F510FE">
      <w:pPr>
        <w:pStyle w:val="NormalWeb"/>
        <w:shd w:val="clear" w:color="auto" w:fill="FFFFFF"/>
        <w:bidi/>
        <w:spacing w:before="0" w:beforeAutospacing="0" w:after="0" w:afterAutospacing="0"/>
        <w:jc w:val="both"/>
        <w:rPr>
          <w:rFonts w:ascii="Arial" w:hAnsi="Arial" w:cs="Arial"/>
          <w:u w:val="single"/>
          <w:rtl/>
          <w:lang w:eastAsia="he-IL"/>
        </w:rPr>
      </w:pPr>
      <w:r w:rsidRPr="00F510FE">
        <w:rPr>
          <w:rFonts w:ascii="Arial" w:hAnsi="Arial" w:cs="Arial"/>
          <w:rtl/>
        </w:rPr>
        <w:t> </w:t>
      </w:r>
    </w:p>
    <w:p w:rsidR="00E07A6D" w:rsidRPr="00F510FE" w:rsidRDefault="00E07A6D" w:rsidP="00F510FE">
      <w:pPr>
        <w:pStyle w:val="NormalWeb"/>
        <w:shd w:val="clear" w:color="auto" w:fill="FFFFFF"/>
        <w:bidi/>
        <w:spacing w:before="0" w:beforeAutospacing="0" w:after="0" w:afterAutospacing="0"/>
        <w:jc w:val="both"/>
        <w:rPr>
          <w:rFonts w:ascii="Arial" w:hAnsi="Arial" w:cs="Arial"/>
          <w:u w:val="single"/>
          <w:lang w:eastAsia="he-IL"/>
        </w:rPr>
      </w:pPr>
      <w:r w:rsidRPr="00F510FE">
        <w:rPr>
          <w:rFonts w:ascii="Arial" w:hAnsi="Arial" w:cs="Arial"/>
          <w:u w:val="single"/>
          <w:rtl/>
          <w:lang w:eastAsia="he-IL"/>
        </w:rPr>
        <w:t>משברים פיננסיים:</w:t>
      </w:r>
    </w:p>
    <w:p w:rsidR="00E07A6D" w:rsidRPr="00F510FE" w:rsidRDefault="00E07A6D" w:rsidP="00F510FE">
      <w:pPr>
        <w:numPr>
          <w:ilvl w:val="0"/>
          <w:numId w:val="7"/>
        </w:numPr>
        <w:jc w:val="both"/>
        <w:rPr>
          <w:rFonts w:ascii="Arial" w:hAnsi="Arial" w:cs="Arial"/>
          <w:sz w:val="24"/>
          <w:szCs w:val="24"/>
        </w:rPr>
      </w:pPr>
      <w:r w:rsidRPr="00F510FE">
        <w:rPr>
          <w:rFonts w:ascii="Arial" w:hAnsi="Arial" w:cs="Arial"/>
          <w:sz w:val="24"/>
          <w:szCs w:val="24"/>
          <w:rtl/>
        </w:rPr>
        <w:t>דו"ח בנק ישראל 2008, פרק א' עמודים 1-20.</w:t>
      </w:r>
    </w:p>
    <w:p w:rsidR="00E07A6D" w:rsidRPr="00F510FE" w:rsidRDefault="00E07A6D" w:rsidP="00F510FE">
      <w:pPr>
        <w:numPr>
          <w:ilvl w:val="0"/>
          <w:numId w:val="7"/>
        </w:numPr>
        <w:jc w:val="both"/>
        <w:rPr>
          <w:rFonts w:ascii="Arial" w:hAnsi="Arial" w:cs="Arial"/>
          <w:sz w:val="24"/>
          <w:szCs w:val="24"/>
        </w:rPr>
      </w:pPr>
      <w:r w:rsidRPr="00F510FE">
        <w:rPr>
          <w:rFonts w:ascii="Arial" w:hAnsi="Arial" w:cs="Arial"/>
          <w:sz w:val="24"/>
          <w:szCs w:val="24"/>
          <w:rtl/>
        </w:rPr>
        <w:t>דו"ח בנק ישראל 2009, פרק א', המשק והמשבר העולמי, עמודים 1-10.</w:t>
      </w:r>
    </w:p>
    <w:p w:rsidR="00E07A6D" w:rsidRPr="00F510FE" w:rsidRDefault="00E07A6D" w:rsidP="00F510FE">
      <w:pPr>
        <w:numPr>
          <w:ilvl w:val="0"/>
          <w:numId w:val="7"/>
        </w:numPr>
        <w:jc w:val="both"/>
        <w:rPr>
          <w:rFonts w:ascii="Arial" w:hAnsi="Arial" w:cs="Arial"/>
          <w:sz w:val="24"/>
          <w:szCs w:val="24"/>
        </w:rPr>
      </w:pPr>
      <w:r w:rsidRPr="00F510FE">
        <w:rPr>
          <w:rFonts w:ascii="Arial" w:hAnsi="Arial" w:cs="Arial"/>
          <w:sz w:val="24"/>
          <w:szCs w:val="24"/>
          <w:rtl/>
        </w:rPr>
        <w:t>דו"ח בנק ישראל 2009, פרק ד', המערכת הפיננסית ויציבותה, עמודים 143-164 .</w:t>
      </w:r>
    </w:p>
    <w:p w:rsidR="00427919" w:rsidRPr="00F510FE" w:rsidRDefault="00427919" w:rsidP="00F510FE">
      <w:pPr>
        <w:jc w:val="both"/>
        <w:rPr>
          <w:rFonts w:ascii="Arial" w:hAnsi="Arial" w:cs="Arial"/>
          <w:sz w:val="24"/>
          <w:szCs w:val="24"/>
          <w:u w:val="single"/>
          <w:rtl/>
        </w:rPr>
      </w:pPr>
    </w:p>
    <w:p w:rsidR="00E07A6D" w:rsidRPr="00F510FE" w:rsidRDefault="00427919" w:rsidP="00F510FE">
      <w:pPr>
        <w:jc w:val="both"/>
        <w:rPr>
          <w:rFonts w:ascii="Arial" w:hAnsi="Arial" w:cs="Arial"/>
          <w:sz w:val="24"/>
          <w:szCs w:val="24"/>
          <w:u w:val="single"/>
          <w:rtl/>
        </w:rPr>
      </w:pPr>
      <w:r w:rsidRPr="00F510FE">
        <w:rPr>
          <w:rFonts w:ascii="Arial" w:hAnsi="Arial" w:cs="Arial"/>
          <w:sz w:val="24"/>
          <w:szCs w:val="24"/>
          <w:u w:val="single"/>
          <w:rtl/>
        </w:rPr>
        <w:t xml:space="preserve">שוקי האג"ח </w:t>
      </w:r>
      <w:r w:rsidR="00E07A6D" w:rsidRPr="00F510FE">
        <w:rPr>
          <w:rFonts w:ascii="Arial" w:hAnsi="Arial" w:cs="Arial"/>
          <w:sz w:val="24"/>
          <w:szCs w:val="24"/>
          <w:u w:val="single"/>
          <w:rtl/>
        </w:rPr>
        <w:t>ושוקי מט"ח</w:t>
      </w:r>
    </w:p>
    <w:p w:rsidR="00E07A6D" w:rsidRPr="00F510FE" w:rsidRDefault="00E07A6D" w:rsidP="00F510FE">
      <w:pPr>
        <w:jc w:val="both"/>
        <w:rPr>
          <w:rFonts w:ascii="Arial" w:hAnsi="Arial" w:cs="Arial"/>
          <w:sz w:val="24"/>
          <w:szCs w:val="24"/>
          <w:rtl/>
          <w:lang w:eastAsia="en-US"/>
        </w:rPr>
      </w:pPr>
      <w:r w:rsidRPr="00F510FE">
        <w:rPr>
          <w:rFonts w:ascii="Arial" w:hAnsi="Arial" w:cs="Arial"/>
          <w:sz w:val="24"/>
          <w:szCs w:val="24"/>
          <w:rtl/>
          <w:lang w:eastAsia="en-US"/>
        </w:rPr>
        <w:t>שוק ההון וניירות הערך - משה בן חורין.</w:t>
      </w:r>
    </w:p>
    <w:p w:rsidR="00E07A6D" w:rsidRPr="00F510FE" w:rsidRDefault="00E07A6D" w:rsidP="00F510FE">
      <w:pPr>
        <w:bidi w:val="0"/>
        <w:jc w:val="both"/>
        <w:rPr>
          <w:rFonts w:ascii="Arial" w:hAnsi="Arial" w:cs="Arial"/>
          <w:sz w:val="24"/>
          <w:szCs w:val="24"/>
          <w:lang w:eastAsia="en-US"/>
        </w:rPr>
      </w:pPr>
      <w:r w:rsidRPr="00F510FE">
        <w:rPr>
          <w:rFonts w:ascii="Arial" w:hAnsi="Arial" w:cs="Arial"/>
          <w:sz w:val="24"/>
          <w:szCs w:val="24"/>
          <w:lang w:eastAsia="en-US"/>
        </w:rPr>
        <w:t>Bond Markets, Analysis, and Strategies, Frank J. Fabozzi.</w:t>
      </w:r>
    </w:p>
    <w:p w:rsidR="00E07A6D" w:rsidRPr="00F510FE" w:rsidRDefault="00E07A6D" w:rsidP="00F510FE">
      <w:pPr>
        <w:bidi w:val="0"/>
        <w:jc w:val="both"/>
        <w:rPr>
          <w:rFonts w:ascii="Arial" w:hAnsi="Arial" w:cs="Arial"/>
          <w:sz w:val="24"/>
          <w:szCs w:val="24"/>
          <w:lang w:eastAsia="en-US"/>
        </w:rPr>
      </w:pPr>
      <w:r w:rsidRPr="00F510FE">
        <w:rPr>
          <w:rFonts w:ascii="Arial" w:hAnsi="Arial" w:cs="Arial"/>
          <w:sz w:val="24"/>
          <w:szCs w:val="24"/>
          <w:lang w:eastAsia="en-US"/>
        </w:rPr>
        <w:t>Eitman, D. K., Stonhehill, A. I., &amp; Moffett M. H. Multinational business finance. Addison-Wesley/Pearson.</w:t>
      </w:r>
    </w:p>
    <w:p w:rsidR="00E07A6D" w:rsidRPr="00F510FE" w:rsidRDefault="00E07A6D" w:rsidP="00F510FE">
      <w:pPr>
        <w:jc w:val="both"/>
        <w:rPr>
          <w:rFonts w:ascii="Arial" w:hAnsi="Arial" w:cs="Arial"/>
          <w:sz w:val="24"/>
          <w:szCs w:val="24"/>
          <w:rtl/>
        </w:rPr>
      </w:pPr>
    </w:p>
    <w:p w:rsidR="004658C5" w:rsidRPr="00F510FE" w:rsidRDefault="004658C5" w:rsidP="00F510FE">
      <w:pPr>
        <w:jc w:val="both"/>
        <w:rPr>
          <w:rFonts w:ascii="Arial" w:hAnsi="Arial" w:cs="Arial"/>
          <w:sz w:val="24"/>
          <w:szCs w:val="24"/>
          <w:rtl/>
        </w:rPr>
      </w:pPr>
      <w:r w:rsidRPr="00F510FE">
        <w:rPr>
          <w:rFonts w:ascii="Arial" w:hAnsi="Arial" w:cs="Arial"/>
          <w:sz w:val="24"/>
          <w:szCs w:val="24"/>
          <w:rtl/>
        </w:rPr>
        <w:t>במהלך הקורס יופנו הסטודנטים למקורות קריאה אקטואליים נוספים.</w:t>
      </w:r>
    </w:p>
    <w:sectPr w:rsidR="004658C5" w:rsidRPr="00F510FE" w:rsidSect="00633552">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E1" w:rsidRDefault="003C51E1" w:rsidP="00F510FE">
      <w:r>
        <w:separator/>
      </w:r>
    </w:p>
  </w:endnote>
  <w:endnote w:type="continuationSeparator" w:id="0">
    <w:p w:rsidR="003C51E1" w:rsidRDefault="003C51E1" w:rsidP="00F5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E1" w:rsidRDefault="003C51E1" w:rsidP="00F510FE">
      <w:r>
        <w:separator/>
      </w:r>
    </w:p>
  </w:footnote>
  <w:footnote w:type="continuationSeparator" w:id="0">
    <w:p w:rsidR="003C51E1" w:rsidRDefault="003C51E1" w:rsidP="00F5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E" w:rsidRDefault="00F510FE" w:rsidP="00F510FE">
    <w:pPr>
      <w:pStyle w:val="a5"/>
      <w:jc w:val="right"/>
    </w:pPr>
    <w:r w:rsidRPr="007E7A0A">
      <w:rPr>
        <w:noProof/>
        <w:color w:val="333333"/>
        <w:rtl/>
        <w:lang w:eastAsia="en-US"/>
      </w:rPr>
      <w:drawing>
        <wp:anchor distT="0" distB="0" distL="114300" distR="114300" simplePos="0" relativeHeight="251659264" behindDoc="0" locked="0" layoutInCell="1" allowOverlap="1" wp14:anchorId="07026906" wp14:editId="0283AEA0">
          <wp:simplePos x="0" y="0"/>
          <wp:positionH relativeFrom="column">
            <wp:posOffset>-732155</wp:posOffset>
          </wp:positionH>
          <wp:positionV relativeFrom="paragraph">
            <wp:posOffset>-358775</wp:posOffset>
          </wp:positionV>
          <wp:extent cx="1228725" cy="742950"/>
          <wp:effectExtent l="19050" t="0" r="9525" b="0"/>
          <wp:wrapThrough wrapText="bothSides">
            <wp:wrapPolygon edited="0">
              <wp:start x="-335" y="0"/>
              <wp:lineTo x="-335" y="21046"/>
              <wp:lineTo x="21767" y="21046"/>
              <wp:lineTo x="21767" y="0"/>
              <wp:lineTo x="-335" y="0"/>
            </wp:wrapPolygon>
          </wp:wrapThrough>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F57"/>
    <w:multiLevelType w:val="hybridMultilevel"/>
    <w:tmpl w:val="A7F29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71C64"/>
    <w:multiLevelType w:val="hybridMultilevel"/>
    <w:tmpl w:val="C64CF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95256D"/>
    <w:multiLevelType w:val="hybridMultilevel"/>
    <w:tmpl w:val="48E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03B8A"/>
    <w:multiLevelType w:val="hybridMultilevel"/>
    <w:tmpl w:val="A0F0B4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941956"/>
    <w:multiLevelType w:val="hybridMultilevel"/>
    <w:tmpl w:val="4D7C2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952B6"/>
    <w:multiLevelType w:val="hybridMultilevel"/>
    <w:tmpl w:val="C01A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77AC3"/>
    <w:multiLevelType w:val="hybridMultilevel"/>
    <w:tmpl w:val="40905572"/>
    <w:lvl w:ilvl="0" w:tplc="73A8753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207331"/>
    <w:multiLevelType w:val="hybridMultilevel"/>
    <w:tmpl w:val="CF048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68"/>
    <w:rsid w:val="003278BA"/>
    <w:rsid w:val="003C51E1"/>
    <w:rsid w:val="00427919"/>
    <w:rsid w:val="004658C5"/>
    <w:rsid w:val="005E7B61"/>
    <w:rsid w:val="00633552"/>
    <w:rsid w:val="006976CE"/>
    <w:rsid w:val="0074247C"/>
    <w:rsid w:val="00786668"/>
    <w:rsid w:val="007B339C"/>
    <w:rsid w:val="00844893"/>
    <w:rsid w:val="0095441F"/>
    <w:rsid w:val="00BA2F5B"/>
    <w:rsid w:val="00CA0C65"/>
    <w:rsid w:val="00CB1F05"/>
    <w:rsid w:val="00DF7D66"/>
    <w:rsid w:val="00E07A6D"/>
    <w:rsid w:val="00E619CE"/>
    <w:rsid w:val="00F51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C054-CF53-4B25-BDDE-07DF51BC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68"/>
    <w:pPr>
      <w:bidi/>
      <w:spacing w:after="0" w:line="240" w:lineRule="auto"/>
    </w:pPr>
    <w:rPr>
      <w:rFonts w:ascii="Times New Roman" w:eastAsia="Times New Roman" w:hAnsi="Times New Roman" w:cs="Times New Roman"/>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668"/>
    <w:pPr>
      <w:spacing w:after="200" w:line="276" w:lineRule="auto"/>
      <w:ind w:left="720"/>
      <w:contextualSpacing/>
    </w:pPr>
    <w:rPr>
      <w:rFonts w:ascii="Calibri" w:eastAsia="Calibri" w:hAnsi="Calibri" w:cs="Arial"/>
      <w:sz w:val="22"/>
      <w:szCs w:val="22"/>
      <w:lang w:eastAsia="en-US"/>
    </w:rPr>
  </w:style>
  <w:style w:type="character" w:styleId="Hyperlink">
    <w:name w:val="Hyperlink"/>
    <w:rsid w:val="00E07A6D"/>
    <w:rPr>
      <w:color w:val="0000FF"/>
      <w:u w:val="single"/>
    </w:rPr>
  </w:style>
  <w:style w:type="paragraph" w:styleId="a4">
    <w:name w:val="List"/>
    <w:basedOn w:val="a"/>
    <w:rsid w:val="00E07A6D"/>
    <w:pPr>
      <w:ind w:left="283" w:hanging="283"/>
    </w:pPr>
    <w:rPr>
      <w:rFonts w:ascii="Courier New" w:hAnsi="Courier New" w:cs="David"/>
      <w:sz w:val="24"/>
      <w:szCs w:val="24"/>
      <w:lang w:eastAsia="en-US"/>
    </w:rPr>
  </w:style>
  <w:style w:type="paragraph" w:styleId="NormalWeb">
    <w:name w:val="Normal (Web)"/>
    <w:basedOn w:val="a"/>
    <w:uiPriority w:val="99"/>
    <w:unhideWhenUsed/>
    <w:rsid w:val="00E07A6D"/>
    <w:pPr>
      <w:bidi w:val="0"/>
      <w:spacing w:before="100" w:beforeAutospacing="1" w:after="100" w:afterAutospacing="1"/>
    </w:pPr>
    <w:rPr>
      <w:rFonts w:eastAsia="Calibri"/>
      <w:sz w:val="24"/>
      <w:szCs w:val="24"/>
      <w:lang w:eastAsia="en-US"/>
    </w:rPr>
  </w:style>
  <w:style w:type="paragraph" w:styleId="a5">
    <w:name w:val="header"/>
    <w:basedOn w:val="a"/>
    <w:link w:val="a6"/>
    <w:uiPriority w:val="99"/>
    <w:unhideWhenUsed/>
    <w:rsid w:val="00F510FE"/>
    <w:pPr>
      <w:tabs>
        <w:tab w:val="center" w:pos="4153"/>
        <w:tab w:val="right" w:pos="8306"/>
      </w:tabs>
    </w:pPr>
  </w:style>
  <w:style w:type="character" w:customStyle="1" w:styleId="a6">
    <w:name w:val="כותרת עליונה תו"/>
    <w:basedOn w:val="a0"/>
    <w:link w:val="a5"/>
    <w:uiPriority w:val="99"/>
    <w:rsid w:val="00F510FE"/>
    <w:rPr>
      <w:rFonts w:ascii="Times New Roman" w:eastAsia="Times New Roman" w:hAnsi="Times New Roman" w:cs="Times New Roman"/>
      <w:sz w:val="20"/>
      <w:szCs w:val="20"/>
      <w:lang w:eastAsia="he-IL"/>
    </w:rPr>
  </w:style>
  <w:style w:type="paragraph" w:styleId="a7">
    <w:name w:val="footer"/>
    <w:basedOn w:val="a"/>
    <w:link w:val="a8"/>
    <w:uiPriority w:val="99"/>
    <w:unhideWhenUsed/>
    <w:rsid w:val="00F510FE"/>
    <w:pPr>
      <w:tabs>
        <w:tab w:val="center" w:pos="4153"/>
        <w:tab w:val="right" w:pos="8306"/>
      </w:tabs>
    </w:pPr>
  </w:style>
  <w:style w:type="character" w:customStyle="1" w:styleId="a8">
    <w:name w:val="כותרת תחתונה תו"/>
    <w:basedOn w:val="a0"/>
    <w:link w:val="a7"/>
    <w:uiPriority w:val="99"/>
    <w:rsid w:val="00F510FE"/>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f.gov.il/AG/FinancingAndCredit/TheCreditRating/Pages/default.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f.gov.il/AG/FinancingAndCredit/GovernmentDebtIndices/DocLib/GDP_Ratio_heb-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f.gov.il/AG/FinancingAndCredit/ExternalDebt/Pages/RecruitmentSourc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f.gov.il/AG/FinancingAndCredit/TheCreditRating/Pages/CreditRatingMethodology.aspx" TargetMode="External"/><Relationship Id="rId4" Type="http://schemas.openxmlformats.org/officeDocument/2006/relationships/settings" Target="settings.xml"/><Relationship Id="rId9" Type="http://schemas.openxmlformats.org/officeDocument/2006/relationships/hyperlink" Target="http://mof.gov.il/AG/FinancingAndCredit/TheCreditRating/Pages/IsraelsCreditRating.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C756-CFB0-45CA-8A02-34AB330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2718</Characters>
  <Application>Microsoft Office Word</Application>
  <DocSecurity>4</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dc:creator>
  <cp:keywords/>
  <dc:description/>
  <cp:lastModifiedBy>רונית פולק</cp:lastModifiedBy>
  <cp:revision>2</cp:revision>
  <dcterms:created xsi:type="dcterms:W3CDTF">2018-09-16T06:21:00Z</dcterms:created>
  <dcterms:modified xsi:type="dcterms:W3CDTF">2018-09-16T06:21:00Z</dcterms:modified>
</cp:coreProperties>
</file>